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Executive Production Review</w:t>
      </w:r>
    </w:p>
    <w:p>
      <w:pPr>
        <w:jc w:val="center"/>
      </w:pPr>
      <w:r>
        <w:rPr>
          <w:i/>
          <w:sz w:val="24"/>
        </w:rPr>
        <w:t>Clinical Decision Intelligence Platform</w:t>
      </w:r>
    </w:p>
    <w:p>
      <w:r>
        <w:t>Synthetic-data portfolio reference implementation • Version 3.1.0</w:t>
      </w:r>
    </w:p>
    <w:p>
      <w:pPr>
        <w:pStyle w:val="Heading1"/>
      </w:pPr>
      <w:r>
        <w:t>Executive decision</w:t>
      </w:r>
    </w:p>
    <w:p>
      <w:r>
        <w:t>The project is a strong production-oriented portfolio reference implementation. It is appropriate for merge after the remaining external validation gates—Docker, Kubernetes, and GitHub Actions—pass. It must not be represented as a clinically deployed, regulated, or clinically validated system.</w:t>
      </w:r>
    </w:p>
    <w:p>
      <w:pPr>
        <w:pStyle w:val="Heading1"/>
      </w:pPr>
      <w:r>
        <w:t>Evidence collected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Validation item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Observed result</w:t>
            </w:r>
          </w:p>
        </w:tc>
      </w:tr>
      <w:tr>
        <w:tc>
          <w:tcPr>
            <w:tcW w:type="dxa" w:w="5040"/>
            <w:vAlign w:val="center"/>
          </w:tcPr>
          <w:p>
            <w:r>
              <w:t>Python compilation</w:t>
            </w:r>
          </w:p>
        </w:tc>
        <w:tc>
          <w:tcPr>
            <w:tcW w:type="dxa" w:w="5040"/>
            <w:vAlign w:val="center"/>
          </w:tcPr>
          <w:p>
            <w:r>
              <w:t>Passed for src/ and scripts/</w:t>
            </w:r>
          </w:p>
        </w:tc>
      </w:tr>
      <w:tr>
        <w:tc>
          <w:tcPr>
            <w:tcW w:type="dxa" w:w="5040"/>
            <w:vAlign w:val="center"/>
          </w:tcPr>
          <w:p>
            <w:r>
              <w:t>Automated tests</w:t>
            </w:r>
          </w:p>
        </w:tc>
        <w:tc>
          <w:tcPr>
            <w:tcW w:type="dxa" w:w="5040"/>
            <w:vAlign w:val="center"/>
          </w:tcPr>
          <w:p>
            <w:r>
              <w:t>12 passed in 1.13 seconds</w:t>
            </w:r>
          </w:p>
        </w:tc>
      </w:tr>
      <w:tr>
        <w:tc>
          <w:tcPr>
            <w:tcW w:type="dxa" w:w="5040"/>
            <w:vAlign w:val="center"/>
          </w:tcPr>
          <w:p>
            <w:r>
              <w:t>Training pipeline</w:t>
            </w:r>
          </w:p>
        </w:tc>
        <w:tc>
          <w:tcPr>
            <w:tcW w:type="dxa" w:w="5040"/>
            <w:vAlign w:val="center"/>
          </w:tcPr>
          <w:p>
            <w:r>
              <w:t>Completed successfully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Production evaluation</w:t>
            </w:r>
          </w:p>
        </w:tc>
        <w:tc>
          <w:tcPr>
            <w:tcW w:type="dxa" w:w="5040"/>
            <w:vAlign w:val="center"/>
          </w:tcPr>
          <w:p>
            <w:r>
              <w:t>Completed successfully</w:t>
            </w:r>
          </w:p>
        </w:tc>
      </w:tr>
      <w:tr>
        <w:tc>
          <w:tcPr>
            <w:tcW w:type="dxa" w:w="5040"/>
            <w:vAlign w:val="center"/>
          </w:tcPr>
          <w:p>
            <w:r>
              <w:t>ROC AUC</w:t>
            </w:r>
          </w:p>
        </w:tc>
        <w:tc>
          <w:tcPr>
            <w:tcW w:type="dxa" w:w="5040"/>
            <w:vAlign w:val="center"/>
          </w:tcPr>
          <w:p>
            <w:r>
              <w:t>0.7434</w:t>
            </w:r>
          </w:p>
        </w:tc>
      </w:tr>
      <w:tr>
        <w:tc>
          <w:tcPr>
            <w:tcW w:type="dxa" w:w="5040"/>
            <w:vAlign w:val="center"/>
          </w:tcPr>
          <w:p>
            <w:r>
              <w:t>Average precision</w:t>
            </w:r>
          </w:p>
        </w:tc>
        <w:tc>
          <w:tcPr>
            <w:tcW w:type="dxa" w:w="5040"/>
            <w:vAlign w:val="center"/>
          </w:tcPr>
          <w:p>
            <w:r>
              <w:t>0.5619</w:t>
            </w:r>
          </w:p>
        </w:tc>
      </w:tr>
      <w:tr>
        <w:tc>
          <w:tcPr>
            <w:tcW w:type="dxa" w:w="5040"/>
            <w:vAlign w:val="center"/>
          </w:tcPr>
          <w:p>
            <w:r>
              <w:t>Matched ATT</w:t>
            </w:r>
          </w:p>
        </w:tc>
        <w:tc>
          <w:tcPr>
            <w:tcW w:type="dxa" w:w="5040"/>
            <w:vAlign w:val="center"/>
          </w:tcPr>
          <w:p>
            <w:r>
              <w:t>-0.1092; 18,572 matched pairs</w:t>
            </w:r>
          </w:p>
        </w:tc>
      </w:tr>
    </w:tbl>
    <w:p>
      <w:pPr>
        <w:pStyle w:val="Heading1"/>
      </w:pPr>
      <w:r>
        <w:t>Principal-level strengths</w:t>
      </w:r>
    </w:p>
    <w:p>
      <w:pPr>
        <w:pStyle w:val="ListBullet"/>
      </w:pPr>
      <w:r>
        <w:t>Combines predictive risk modeling with causal treatment-effect estimation.</w:t>
      </w:r>
    </w:p>
    <w:p>
      <w:pPr>
        <w:pStyle w:val="ListBullet"/>
      </w:pPr>
      <w:r>
        <w:t>Separates health from model readiness and uses typed OpenAPI response contracts.</w:t>
      </w:r>
    </w:p>
    <w:p>
      <w:pPr>
        <w:pStyle w:val="ListBullet"/>
      </w:pPr>
      <w:r>
        <w:t>Requires explicit API-key configuration and uses constant-time comparison.</w:t>
      </w:r>
    </w:p>
    <w:p>
      <w:pPr>
        <w:pStyle w:val="ListBullet"/>
      </w:pPr>
      <w:r>
        <w:t>Includes calibration, subgroup fairness, drift, SHAP, FHIR-style interoperability, clinician feedback, MLflow, and Prometheus/Grafana patterns.</w:t>
      </w:r>
    </w:p>
    <w:p>
      <w:pPr>
        <w:pStyle w:val="ListBullet"/>
      </w:pPr>
      <w:r>
        <w:t>Provides non-root Docker execution, Kubernetes security controls, probes, resource limits, HPA, and CI quality gates.</w:t>
      </w:r>
    </w:p>
    <w:p>
      <w:pPr>
        <w:pStyle w:val="Heading1"/>
      </w:pPr>
      <w:r>
        <w:t>Remaining limitations</w:t>
      </w:r>
    </w:p>
    <w:p>
      <w:pPr>
        <w:pStyle w:val="ListBullet"/>
      </w:pPr>
      <w:r>
        <w:t>Synthetic data and demonstration model artifacts.</w:t>
      </w:r>
    </w:p>
    <w:p>
      <w:pPr>
        <w:pStyle w:val="ListBullet"/>
      </w:pPr>
      <w:r>
        <w:t>No prospective clinical validation, regulatory review, hospital security review, or human-factors evaluation.</w:t>
      </w:r>
    </w:p>
    <w:p>
      <w:pPr>
        <w:pStyle w:val="ListBullet"/>
      </w:pPr>
      <w:r>
        <w:t>Clinician feedback persists to local JSONL rather than a transactional audited service.</w:t>
      </w:r>
    </w:p>
    <w:p>
      <w:pPr>
        <w:pStyle w:val="ListBullet"/>
      </w:pPr>
      <w:r>
        <w:t>Raw identifiers may be accepted unless upstream de-identification is enforced.</w:t>
      </w:r>
    </w:p>
    <w:p>
      <w:pPr>
        <w:pStyle w:val="ListBullet"/>
      </w:pPr>
      <w:r>
        <w:t>FHIR integration is simulated, not certified.</w:t>
      </w:r>
    </w:p>
    <w:p>
      <w:pPr>
        <w:pStyle w:val="ListBullet"/>
      </w:pPr>
      <w:r>
        <w:t>Kubernetes, managed feature-store, and EHR integrations remain environment-specific scaffolding.</w:t>
      </w:r>
    </w:p>
    <w:p>
      <w:pPr>
        <w:pStyle w:val="Heading1"/>
      </w:pPr>
      <w:r>
        <w:t>Final merge recommendation</w:t>
      </w:r>
    </w:p>
    <w:p>
      <w:r>
        <w:t>Merge only after all tests pass in a clean Python 3.11 environment, GitHub Actions succeeds, Docker smoke tests pass, Kubernetes manifests validate, repository hygiene checks are clean, and OpenAPI/documentation match observed behavior.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