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Technical Design Document</w:t>
      </w:r>
    </w:p>
    <w:p>
      <w:pPr>
        <w:jc w:val="center"/>
      </w:pPr>
      <w:r>
        <w:rPr>
          <w:i/>
          <w:sz w:val="24"/>
        </w:rPr>
        <w:t>Clinical Decision Intelligence Platform</w:t>
      </w:r>
    </w:p>
    <w:p>
      <w:r>
        <w:t>Synthetic-data portfolio reference implementation • Version 3.1.0</w:t>
      </w:r>
    </w:p>
    <w:p>
      <w:pPr>
        <w:pStyle w:val="Heading1"/>
      </w:pPr>
      <w:r>
        <w:t>1. Purpose</w:t>
      </w:r>
    </w:p>
    <w:p>
      <w:r>
        <w:t>A governed healthcare ML reference platform that combines readmission prediction, causal treatment-effect estimation, explainability, interoperability, clinician feedback, and MLOps controls.</w:t>
      </w:r>
    </w:p>
    <w:p>
      <w:pPr>
        <w:pStyle w:val="Heading1"/>
      </w:pPr>
      <w:r>
        <w:t>2. Scope</w:t>
      </w:r>
    </w:p>
    <w:p>
      <w:r>
        <w:t>Executable scope includes local training, model loading, authenticated inference, FHIR-style output, JSONL feedback, fairness and calibration evaluation, Prometheus metrics, drift utilities, and MLflow integration. Certified hospital deployment is out of scope.</w:t>
      </w:r>
    </w:p>
    <w:p>
      <w:pPr>
        <w:pStyle w:val="Heading1"/>
      </w:pPr>
      <w:r>
        <w:t>3. Architecture</w:t>
      </w:r>
    </w:p>
    <w:p>
      <w:r>
        <w:t>Synthetic EHR-style data flows through feature preparation and model training into a versioned model bundle. FastAPI serves typed predictions and FHIR-style resources, while Prometheus captures operational metrics and clinician feedback is appended for audit-oriented demonstration.</w:t>
      </w:r>
    </w:p>
    <w:p>
      <w:pPr>
        <w:pStyle w:val="Heading1"/>
      </w:pPr>
      <w:r>
        <w:t>4. Package design</w:t>
      </w:r>
    </w:p>
    <w:p>
      <w:r>
        <w:t>The installable src-layout package is clinical_decision_intelligence, with api, causal, core, evaluation, features, integrations, ml, and monitoring modules. pyproject.toml defines package discovery and quality-tool configuration.</w:t>
      </w:r>
    </w:p>
    <w:p>
      <w:pPr>
        <w:pStyle w:val="Heading1"/>
      </w:pPr>
      <w:r>
        <w:t>5. API design</w:t>
      </w:r>
    </w:p>
    <w:p>
      <w:r>
        <w:t>Public endpoints expose health, readiness, version, and metrics. Protected endpoints expose prediction, FHIR RiskAssessment, and feedback. Pydantic validates field ranges and response contracts.</w:t>
      </w:r>
    </w:p>
    <w:p>
      <w:pPr>
        <w:pStyle w:val="Heading1"/>
      </w:pPr>
      <w:r>
        <w:t>6. Security and privacy</w:t>
      </w:r>
    </w:p>
    <w:p>
      <w:r>
        <w:t>Authentication fails closed when no API key is configured. Docker runs as a non-root user. Kubernetes uses Secrets, drops Linux capabilities, disables service-account token mounting, and applies resource constraints. These are portfolio controls, not a substitute for HIPAA or institutional governance.</w:t>
      </w:r>
    </w:p>
    <w:p>
      <w:pPr>
        <w:pStyle w:val="Heading1"/>
      </w:pPr>
      <w:r>
        <w:t>7. Reliability and observability</w:t>
      </w:r>
    </w:p>
    <w:p>
      <w:r>
        <w:t>Health and readiness probes are separate. Metrics cover requests, latency, risk distribution, feedback decisions, and model load state. Production should add structured logging, tracing, SLOs, lineage, alerting, and rollback automation.</w:t>
      </w:r>
    </w:p>
    <w:p>
      <w:pPr>
        <w:pStyle w:val="Heading1"/>
      </w:pPr>
      <w:r>
        <w:t>8. Model governance</w:t>
      </w:r>
    </w:p>
    <w:p>
      <w:r>
        <w:t>Model artifacts should be promoted through a registry or artifact repository with checksums, lineage, approval status, and rollback metadata. Generated outputs are excluded from source control and regenerated by scripts.</w:t>
      </w:r>
    </w:p>
    <w:p>
      <w:pPr>
        <w:pStyle w:val="Heading1"/>
      </w:pPr>
      <w:r>
        <w:t>9. Deployment</w:t>
      </w:r>
    </w:p>
    <w:p>
      <w:r>
        <w:t>Local Python, Docker Compose, and Kubernetes patterns are included. MLflow, Prometheus, and Grafana are companion services. Images should be pinned by digest before real deployment.</w:t>
      </w:r>
    </w:p>
    <w:p>
      <w:pPr>
        <w:pStyle w:val="Heading1"/>
      </w:pPr>
      <w:r>
        <w:t>10. Limitations</w:t>
      </w:r>
    </w:p>
    <w:p>
      <w:r>
        <w:t>Synthetic data, local JSONL feedback, simulated FHIR, possible raw identifiers, no clinical validation, and environment-specific infrastructure scaffolding remain explicit limitations.</w:t>
      </w:r>
    </w:p>
    <w:p>
      <w:pPr>
        <w:pStyle w:val="Heading1"/>
      </w:pPr>
      <w:r>
        <w:t>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core</w:t>
            </w:r>
          </w:p>
        </w:tc>
        <w:tc>
          <w:tcPr>
            <w:tcW w:type="dxa" w:w="5040"/>
            <w:vAlign w:val="center"/>
          </w:tcPr>
          <w:p>
            <w:r>
              <w:t>Environment settings and paths</w:t>
            </w:r>
          </w:p>
        </w:tc>
      </w:tr>
      <w:tr>
        <w:tc>
          <w:tcPr>
            <w:tcW w:type="dxa" w:w="5040"/>
            <w:vAlign w:val="center"/>
          </w:tcPr>
          <w:p>
            <w:r>
              <w:t>ml</w:t>
            </w:r>
          </w:p>
        </w:tc>
        <w:tc>
          <w:tcPr>
            <w:tcW w:type="dxa" w:w="5040"/>
            <w:vAlign w:val="center"/>
          </w:tcPr>
          <w:p>
            <w:r>
              <w:t>Training, prediction, and SHAP explainability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causal</w:t>
            </w:r>
          </w:p>
        </w:tc>
        <w:tc>
          <w:tcPr>
            <w:tcW w:type="dxa" w:w="5040"/>
            <w:vAlign w:val="center"/>
          </w:tcPr>
          <w:p>
            <w:r>
              <w:t>Propensity, doubly robust, and heterogeneous effect methods</w:t>
            </w:r>
          </w:p>
        </w:tc>
      </w:tr>
      <w:tr>
        <w:tc>
          <w:tcPr>
            <w:tcW w:type="dxa" w:w="5040"/>
            <w:vAlign w:val="center"/>
          </w:tcPr>
          <w:p>
            <w:r>
              <w:t>evaluation</w:t>
            </w:r>
          </w:p>
        </w:tc>
        <w:tc>
          <w:tcPr>
            <w:tcW w:type="dxa" w:w="5040"/>
            <w:vAlign w:val="center"/>
          </w:tcPr>
          <w:p>
            <w:r>
              <w:t>Calibration and subgroup fairness</w:t>
            </w:r>
          </w:p>
        </w:tc>
      </w:tr>
      <w:tr>
        <w:tc>
          <w:tcPr>
            <w:tcW w:type="dxa" w:w="5040"/>
            <w:vAlign w:val="center"/>
          </w:tcPr>
          <w:p>
            <w:r>
              <w:t>features</w:t>
            </w:r>
          </w:p>
        </w:tc>
        <w:tc>
          <w:tcPr>
            <w:tcW w:type="dxa" w:w="5040"/>
            <w:vAlign w:val="center"/>
          </w:tcPr>
          <w:p>
            <w:r>
              <w:t>Feature-store abstraction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api</w:t>
            </w:r>
          </w:p>
        </w:tc>
        <w:tc>
          <w:tcPr>
            <w:tcW w:type="dxa" w:w="5040"/>
            <w:vAlign w:val="center"/>
          </w:tcPr>
          <w:p>
            <w:r>
              <w:t>Schemas, authentication, rate limiting, and endpoints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integrations</w:t>
            </w:r>
          </w:p>
        </w:tc>
        <w:tc>
          <w:tcPr>
            <w:tcW w:type="dxa" w:w="5040"/>
            <w:vAlign w:val="center"/>
          </w:tcPr>
          <w:p>
            <w:r>
              <w:t>FHIR-style output and clinician feedback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monitoring</w:t>
            </w:r>
          </w:p>
        </w:tc>
        <w:tc>
          <w:tcPr>
            <w:tcW w:type="dxa" w:w="5040"/>
            <w:vAlign w:val="center"/>
          </w:tcPr>
          <w:p>
            <w:r>
              <w:t>Prometheus metrics and drift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