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Validation Report</w:t>
      </w:r>
    </w:p>
    <w:p>
      <w:pPr>
        <w:jc w:val="center"/>
      </w:pPr>
      <w:r>
        <w:rPr>
          <w:i/>
          <w:sz w:val="24"/>
        </w:rPr>
        <w:t>Clinical Decision Intelligence Platform</w:t>
      </w:r>
    </w:p>
    <w:p>
      <w:r>
        <w:t>Synthetic-data portfolio reference implementation • Version 3.1.0</w:t>
      </w:r>
    </w:p>
    <w:p>
      <w:pPr>
        <w:pStyle w:val="Heading1"/>
      </w:pPr>
      <w:r>
        <w:t>Validation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Build environment</w:t>
            </w:r>
          </w:p>
        </w:tc>
        <w:tc>
          <w:tcPr>
            <w:tcW w:type="dxa" w:w="5040"/>
            <w:vAlign w:val="center"/>
          </w:tcPr>
          <w:p>
            <w:r>
              <w:t>Linux container</w:t>
            </w:r>
          </w:p>
        </w:tc>
      </w:tr>
      <w:tr>
        <w:tc>
          <w:tcPr>
            <w:tcW w:type="dxa" w:w="5040"/>
            <w:vAlign w:val="center"/>
          </w:tcPr>
          <w:p>
            <w:r>
              <w:t>Python</w:t>
            </w:r>
          </w:p>
        </w:tc>
        <w:tc>
          <w:tcPr>
            <w:tcW w:type="dxa" w:w="5040"/>
            <w:vAlign w:val="center"/>
          </w:tcPr>
          <w:p>
            <w:r>
              <w:t>3.13 for package-generation validation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Test framework</w:t>
            </w:r>
          </w:p>
        </w:tc>
        <w:tc>
          <w:tcPr>
            <w:tcW w:type="dxa" w:w="5040"/>
            <w:vAlign w:val="center"/>
          </w:tcPr>
          <w:p>
            <w:r>
              <w:t>pytest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</w:t>
            </w:r>
          </w:p>
        </w:tc>
        <w:tc>
          <w:tcPr>
            <w:tcW w:type="dxa" w:w="5040"/>
            <w:vAlign w:val="center"/>
          </w:tcPr>
          <w:p>
            <w:r>
              <w:t>Synthetic patient encounters from source package</w:t>
            </w:r>
          </w:p>
        </w:tc>
      </w:tr>
    </w:tbl>
    <w:p>
      <w:pPr>
        <w:pStyle w:val="Heading1"/>
      </w:pPr>
      <w:r>
        <w:t>Executed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Compile src/ and scripts/</w:t>
            </w:r>
          </w:p>
        </w:tc>
        <w:tc>
          <w:tcPr>
            <w:tcW w:type="dxa" w:w="504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5040"/>
            <w:vAlign w:val="center"/>
          </w:tcPr>
          <w:p>
            <w:r>
              <w:t>Test suite</w:t>
            </w:r>
          </w:p>
        </w:tc>
        <w:tc>
          <w:tcPr>
            <w:tcW w:type="dxa" w:w="5040"/>
            <w:vAlign w:val="center"/>
          </w:tcPr>
          <w:p>
            <w:r>
              <w:t>12 passed in 1.13 seconds</w:t>
            </w:r>
          </w:p>
        </w:tc>
      </w:tr>
      <w:tr>
        <w:tc>
          <w:tcPr>
            <w:tcW w:type="dxa" w:w="5040"/>
            <w:vAlign w:val="center"/>
          </w:tcPr>
          <w:p>
            <w:r>
              <w:t>Full training pipeline</w:t>
            </w:r>
          </w:p>
        </w:tc>
        <w:tc>
          <w:tcPr>
            <w:tcW w:type="dxa" w:w="504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Production evaluation script</w:t>
            </w:r>
          </w:p>
        </w:tc>
        <w:tc>
          <w:tcPr>
            <w:tcW w:type="dxa" w:w="5040"/>
            <w:vAlign w:val="center"/>
          </w:tcPr>
          <w:p>
            <w:r>
              <w:t>Passed</w:t>
            </w:r>
          </w:p>
        </w:tc>
      </w:tr>
      <w:tr>
        <w:tc>
          <w:tcPr>
            <w:tcW w:type="dxa" w:w="5040"/>
            <w:vAlign w:val="center"/>
          </w:tcPr>
          <w:p>
            <w:r>
              <w:t>ROC AUC</w:t>
            </w:r>
          </w:p>
        </w:tc>
        <w:tc>
          <w:tcPr>
            <w:tcW w:type="dxa" w:w="5040"/>
            <w:vAlign w:val="center"/>
          </w:tcPr>
          <w:p>
            <w:r>
              <w:t>0.7434</w:t>
            </w:r>
          </w:p>
        </w:tc>
      </w:tr>
      <w:tr>
        <w:tc>
          <w:tcPr>
            <w:tcW w:type="dxa" w:w="5040"/>
            <w:vAlign w:val="center"/>
          </w:tcPr>
          <w:p>
            <w:r>
              <w:t>Average precision</w:t>
            </w:r>
          </w:p>
        </w:tc>
        <w:tc>
          <w:tcPr>
            <w:tcW w:type="dxa" w:w="5040"/>
            <w:vAlign w:val="center"/>
          </w:tcPr>
          <w:p>
            <w:r>
              <w:t>0.5619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Propensity matched ATT</w:t>
            </w:r>
          </w:p>
        </w:tc>
        <w:tc>
          <w:tcPr>
            <w:tcW w:type="dxa" w:w="5040"/>
            <w:vAlign w:val="center"/>
          </w:tcPr>
          <w:p>
            <w:r>
              <w:t>-0.1092</w:t>
            </w:r>
          </w:p>
        </w:tc>
      </w:tr>
      <w:tr>
        <w:tc>
          <w:tcPr>
            <w:tcW w:type="dxa" w:w="5040"/>
            <w:vAlign w:val="center"/>
          </w:tcPr>
          <w:p>
            <w:r>
              <w:t>Matched pairs</w:t>
            </w:r>
          </w:p>
        </w:tc>
        <w:tc>
          <w:tcPr>
            <w:tcW w:type="dxa" w:w="5040"/>
            <w:vAlign w:val="center"/>
          </w:tcPr>
          <w:p>
            <w:r>
              <w:t>18,572</w:t>
            </w:r>
          </w:p>
        </w:tc>
      </w:tr>
    </w:tbl>
    <w:p>
      <w:pPr>
        <w:pStyle w:val="Heading1"/>
      </w:pPr>
      <w:r>
        <w:t>Test coverage areas</w:t>
      </w:r>
    </w:p>
    <w:p>
      <w:pPr>
        <w:pStyle w:val="ListBullet"/>
      </w:pPr>
      <w:r>
        <w:t>Calibration and subgroup fairness utilities</w:t>
      </w:r>
    </w:p>
    <w:p>
      <w:pPr>
        <w:pStyle w:val="ListBullet"/>
      </w:pPr>
      <w:r>
        <w:t>FHIR resource generation</w:t>
      </w:r>
    </w:p>
    <w:p>
      <w:pPr>
        <w:pStyle w:val="ListBullet"/>
      </w:pPr>
      <w:r>
        <w:t>Population Stability Index</w:t>
      </w:r>
    </w:p>
    <w:p>
      <w:pPr>
        <w:pStyle w:val="ListBullet"/>
      </w:pPr>
      <w:r>
        <w:t>Model prediction output bounds</w:t>
      </w:r>
    </w:p>
    <w:p>
      <w:pPr>
        <w:pStyle w:val="ListBullet"/>
      </w:pPr>
      <w:r>
        <w:t>Health and readiness endpoints</w:t>
      </w:r>
    </w:p>
    <w:p>
      <w:pPr>
        <w:pStyle w:val="ListBullet"/>
      </w:pPr>
      <w:r>
        <w:t>Authentication enforcement</w:t>
      </w:r>
    </w:p>
    <w:p>
      <w:pPr>
        <w:pStyle w:val="ListBullet"/>
      </w:pPr>
      <w:r>
        <w:t>Prediction and FHIR endpoints</w:t>
      </w:r>
    </w:p>
    <w:p>
      <w:pPr>
        <w:pStyle w:val="ListBullet"/>
      </w:pPr>
      <w:r>
        <w:t>Clinician feedback endpoint</w:t>
      </w:r>
    </w:p>
    <w:p>
      <w:pPr>
        <w:pStyle w:val="ListBullet"/>
      </w:pPr>
      <w:r>
        <w:t>OpenAPI response models</w:t>
      </w:r>
    </w:p>
    <w:p>
      <w:pPr>
        <w:pStyle w:val="Heading1"/>
      </w:pPr>
      <w:r>
        <w:t>External validation still required</w:t>
      </w:r>
    </w:p>
    <w:p>
      <w:pPr>
        <w:pStyle w:val="ListBullet"/>
      </w:pPr>
      <w:r>
        <w:t>Docker image build and container smoke test</w:t>
      </w:r>
    </w:p>
    <w:p>
      <w:pPr>
        <w:pStyle w:val="ListBullet"/>
      </w:pPr>
      <w:r>
        <w:t>Docker Compose service integration</w:t>
      </w:r>
    </w:p>
    <w:p>
      <w:pPr>
        <w:pStyle w:val="ListBullet"/>
      </w:pPr>
      <w:r>
        <w:t>Kubernetes client-side and cluster validation</w:t>
      </w:r>
    </w:p>
    <w:p>
      <w:pPr>
        <w:pStyle w:val="ListBullet"/>
      </w:pPr>
      <w:r>
        <w:t>GitHub Actions quality and container jobs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All tests pass in a clean Python 3.11 environment.</w:t>
      </w:r>
    </w:p>
    <w:p>
      <w:pPr>
        <w:pStyle w:val="ListBullet"/>
      </w:pPr>
      <w:r>
        <w:t>CI, dependency audit, security scan, and container job pass.</w:t>
      </w:r>
    </w:p>
    <w:p>
      <w:pPr>
        <w:pStyle w:val="ListBullet"/>
      </w:pPr>
      <w:r>
        <w:t>Health, readiness, prediction, FHIR, feedback, and metrics endpoints pass.</w:t>
      </w:r>
    </w:p>
    <w:p>
      <w:pPr>
        <w:pStyle w:val="ListBullet"/>
      </w:pPr>
      <w:r>
        <w:t>No secrets, caches, generated reports, processed data, or unintended artifacts are tracked.</w:t>
      </w:r>
    </w:p>
    <w:p>
      <w:pPr>
        <w:pStyle w:val="ListBullet"/>
      </w:pPr>
      <w:r>
        <w:t>OpenAPI and documentation match runtime behavior.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