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  <w:jc w:val="center"/>
      </w:pPr>
      <w:r>
        <w:rPr>
          <w:b/>
          <w:bCs/>
          <w:color w:val="4B57E8"/>
          <w:sz w:val="44"/>
          <w:szCs w:val="44"/>
          <w:rFonts w:ascii="PingFang SC" w:cs="PingFang SC" w:eastAsia="PingFang SC" w:hAnsi="PingFang SC"/>
        </w:rPr>
        <w:t xml:space="preserve">AI 问书 · 研发同步</w:t>
      </w:r>
    </w:p>
    <w:p>
      <w:pPr>
        <w:spacing w:before="120" w:after="0"/>
        <w:jc w:val="center"/>
      </w:pPr>
      <w:r>
        <w:rPr>
          <w:b/>
          <w:bCs/>
          <w:color w:val="2B2622"/>
          <w:sz w:val="26"/>
          <w:szCs w:val="26"/>
          <w:rFonts w:ascii="PingFang SC" w:cs="PingFang SC" w:eastAsia="PingFang SC" w:hAnsi="PingFang SC"/>
        </w:rPr>
        <w:t xml:space="preserve">0806 修订说明（会员四态 / TTS 参考音文本 / 微信支付参数 / 协议文档 / 父子机构）</w:t>
      </w:r>
    </w:p>
    <w:p>
      <w:pPr>
        <w:spacing w:before="100" w:after="0"/>
        <w:jc w:val="center"/>
      </w:pPr>
      <w:r>
        <w:rPr>
          <w:color w:val="7A736C"/>
          <w:sz w:val="19"/>
          <w:szCs w:val="19"/>
          <w:rFonts w:ascii="PingFang SC" w:cs="PingFang SC" w:eastAsia="PingFang SC" w:hAnsi="PingFang SC"/>
        </w:rPr>
        <w:t xml:space="preserve">日期 2026-08-06　|　配套：功能清单 v2.9 · PRD v1.12 · 品牌色影响清单 111 条　|　密级：内部</w:t>
      </w:r>
    </w:p>
    <w:p>
      <w:pPr>
        <w:spacing w:before="80" w:after="200"/>
        <w:jc w:val="center"/>
      </w:pPr>
      <w:r>
        <w:rPr>
          <w:color w:val="7A736C"/>
          <w:sz w:val="19"/>
          <w:szCs w:val="19"/>
          <w:rFonts w:ascii="PingFang SC" w:cs="PingFang SC" w:eastAsia="PingFang SC" w:hAnsi="PingFang SC"/>
        </w:rPr>
        <w:t xml:space="preserve">用途：研发期间反馈问题的修订汇总，供研发按本文档逐项核对口径与规格；原型已同步实现，可对照本地原型验收。</w:t>
      </w:r>
    </w:p>
    <w:p>
      <w:pPr>
        <w:pStyle w:val="Heading1"/>
        <w:spacing w:before="320" w:after="120"/>
      </w:pPr>
      <w:r>
        <w:rPr>
          <w:b/>
          <w:bCs/>
          <w:color w:val="4B57E8"/>
          <w:sz w:val="30"/>
          <w:szCs w:val="30"/>
          <w:rFonts w:ascii="PingFang SC" w:cs="PingFang SC" w:eastAsia="PingFang SC" w:hAnsi="PingFang SC"/>
        </w:rPr>
        <w:t xml:space="preserve">一、修订总览（5 项）</w:t>
      </w:r>
    </w:p>
    <w:tbl>
      <w:tblPr>
        <w:tblW w:type="dxa" w:w="9360"/>
        <w:tblBorders>
          <w:top w:val="single" w:color="E5E1DB" w:sz="4"/>
          <w:left w:val="single" w:color="E5E1DB" w:sz="4"/>
          <w:bottom w:val="single" w:color="E5E1DB" w:sz="4"/>
          <w:right w:val="single" w:color="E5E1DB" w:sz="4"/>
          <w:insideH w:val="single" w:color="E5E1DB" w:sz="4"/>
          <w:insideV w:val="single" w:color="E5E1DB" w:sz="4"/>
        </w:tblBorders>
      </w:tblPr>
      <w:tblGrid>
        <w:gridCol w:w="500"/>
        <w:gridCol w:w="2000"/>
        <w:gridCol w:w="2000"/>
        <w:gridCol w:w="4860"/>
      </w:tblGrid>
      <w:tr>
        <w:trPr>
          <w:tblHeader/>
        </w:trPr>
        <w:tc>
          <w:tcPr>
            <w:tcW w:type="dxa" w:w="5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#</w:t>
            </w:r>
          </w:p>
        </w:tc>
        <w:tc>
          <w:tcPr>
            <w:tcW w:type="dxa" w:w="20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修订项</w:t>
            </w:r>
          </w:p>
        </w:tc>
        <w:tc>
          <w:tcPr>
            <w:tcW w:type="dxa" w:w="20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涉及端</w:t>
            </w:r>
          </w:p>
        </w:tc>
        <w:tc>
          <w:tcPr>
            <w:tcW w:type="dxa" w:w="486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核心变化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会员状态四态五档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两后台 + C 端 H5 + 导出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「会员 / 非会员」二分 → 有效会员 / 宽限期（待续费）/ 会员已过期 / 未开通会员 四态；筛选五档；全库展示点与导出同步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TTS 参考音文本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两后台（同一组件）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Agent 编辑 / 详情在「TTS 参考音」下新增必填字段，100 字以内、不限字符种类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微信支付新增四参数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平台后台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API v2 密钥 / 支付公钥 ID / 支付公钥文件 / 委托代扣包月模板 ID，按接入用途排序落位微信支付卡片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机构详情「协议文档」Tab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平台后台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新增第 6 个 Tab（末位）：批量上传 + 逐文件进度条 + 下载 / 删除；复用 KP 知识库上传组件，研发零新增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父子机构数据范围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机构后台</w:t>
            </w:r>
          </w:p>
        </w:tc>
        <w:tc>
          <w:tcPr>
            <w:tcW w:type="dxa" w:w="4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父机构视角：六业务页机构单选筛选 + 归属展示、主控台 / 看板机构多选联动；子机构数据仅可查看；顶栏〔演示〕三态切换</w:t>
            </w:r>
          </w:p>
        </w:tc>
      </w:tr>
    </w:tbl>
    <w:p>
      <w:pPr>
        <w:pStyle w:val="Heading1"/>
        <w:spacing w:before="320" w:after="120"/>
      </w:pPr>
      <w:r>
        <w:rPr>
          <w:b/>
          <w:bCs/>
          <w:color w:val="4B57E8"/>
          <w:sz w:val="30"/>
          <w:szCs w:val="30"/>
          <w:rFonts w:ascii="PingFang SC" w:cs="PingFang SC" w:eastAsia="PingFang SC" w:hAnsi="PingFang SC"/>
        </w:rPr>
        <w:t xml:space="preserve">二、逐项说明</w:t>
      </w:r>
    </w:p>
    <w:p>
      <w:pPr>
        <w:pStyle w:val="Heading2"/>
        <w:spacing w:before="260" w:after="100"/>
      </w:pPr>
      <w:r>
        <w:rPr>
          <w:b/>
          <w:bCs/>
          <w:color w:val="2B2622"/>
          <w:sz w:val="25"/>
          <w:szCs w:val="25"/>
          <w:rFonts w:ascii="PingFang SC" w:cs="PingFang SC" w:eastAsia="PingFang SC" w:hAnsi="PingFang SC"/>
        </w:rPr>
        <w:t xml:space="preserve">1. 会员状态：二分改生命周期四态（三端及导出统一口径）</w:t>
      </w:r>
    </w:p>
    <w:p>
      <w:pPr>
        <w:spacing w:before="60" w:after="60" w:line="300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本质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：会员状态是用户权益的生命周期阶段，四态覆盖全周期、任一时刻互斥。判定与到期时间由后端下发，前端只做展示映射。</w:t>
      </w:r>
    </w:p>
    <w:tbl>
      <w:tblPr>
        <w:tblW w:type="dxa" w:w="9360"/>
        <w:tblBorders>
          <w:top w:val="single" w:color="E5E1DB" w:sz="4"/>
          <w:left w:val="single" w:color="E5E1DB" w:sz="4"/>
          <w:bottom w:val="single" w:color="E5E1DB" w:sz="4"/>
          <w:right w:val="single" w:color="E5E1DB" w:sz="4"/>
          <w:insideH w:val="single" w:color="E5E1DB" w:sz="4"/>
          <w:insideV w:val="single" w:color="E5E1DB" w:sz="4"/>
        </w:tblBorders>
      </w:tblPr>
      <w:tblGrid>
        <w:gridCol w:w="1900"/>
        <w:gridCol w:w="3760"/>
        <w:gridCol w:w="1600"/>
        <w:gridCol w:w="2100"/>
      </w:tblGrid>
      <w:tr>
        <w:trPr>
          <w:tblHeader/>
        </w:trPr>
        <w:tc>
          <w:tcPr>
            <w:tcW w:type="dxa" w:w="19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状态</w:t>
            </w:r>
          </w:p>
        </w:tc>
        <w:tc>
          <w:tcPr>
            <w:tcW w:type="dxa" w:w="376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判定口径</w:t>
            </w:r>
          </w:p>
        </w:tc>
        <w:tc>
          <w:tcPr>
            <w:tcW w:type="dxa" w:w="16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列表标签色</w:t>
            </w:r>
          </w:p>
        </w:tc>
        <w:tc>
          <w:tcPr>
            <w:tcW w:type="dxa" w:w="21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详情补充展示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有效会员（active）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会员权益生效中（含连续包月期内未到期）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玉绿 .tag-jade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「有效期至 {日期}」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宽限期（待续费）（grace）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权益已到期、处于续费宽限窗口内，权益暂保留并引导续费——对应委托代扣扣款失败后的挽留窗口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琥珀 .tag-amber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「已于 {日期} 到期 · 宽限期内」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会员已过期（expired）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权益终止且已出宽限窗口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赤陶 .tag-terra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「已于 {日期} 到期」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未开通会员（none）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从未开通过会员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灰描边 .tag-line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筛选五档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＝全部 ＋ 四态，平台后台「全域用户」与机构后台「C 端用户」一致；导出（xlsx）同步四态文案。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同步生效面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：两后台用户列表 / 用户详情（详情补显到期时间）、答案反馈「反馈人」会员标（未开通不挂标，短文案：有效会员 / 宽限期 / 已过期）、反馈详情弹窗、C 端「我的」用户卡（有效显「会员」、宽限显「会员 · 待续费」、其余不显标）与「会员中心」右值（已开通 / 宽限期（待续费）/ 已过期 / 未开通）、AI 会话抽屉用户卡。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数据契约建议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：用户实体给 memberState（枚举四值）＋ memberExpire（日期，active＝有效期至；grace / expired＝到期日）两字段；原型单一口径源在 packages/mock/src/data/memberState.ts，label / 标签色 / 排序权重 / 筛选选项 / 到期文案均从此文件取，研发可照抄映射。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顺手修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：机构后台用户详情原为整页硬编码演示数据，本批改为随列表所点行真实渲染。</w:t>
      </w:r>
    </w:p>
    <w:p>
      <w:pPr>
        <w:pStyle w:val="Heading2"/>
        <w:spacing w:before="260" w:after="100"/>
      </w:pPr>
      <w:r>
        <w:rPr>
          <w:b/>
          <w:bCs/>
          <w:color w:val="2B2622"/>
          <w:sz w:val="25"/>
          <w:szCs w:val="25"/>
          <w:rFonts w:ascii="PingFang SC" w:cs="PingFang SC" w:eastAsia="PingFang SC" w:hAnsi="PingFang SC"/>
        </w:rPr>
        <w:t xml:space="preserve">2. Agent 新增「TTS 参考音文本」（必填）</w:t>
      </w:r>
    </w:p>
    <w:p>
      <w:pPr>
        <w:spacing w:before="60" w:after="60" w:line="300"/>
      </w:pP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TTS 参考音频内朗读的文本内容，用于 TTS 引擎将参考音与文本对齐（声音克隆场景参考音 + 参考文本成对提供）。</w:t>
      </w:r>
    </w:p>
    <w:tbl>
      <w:tblPr>
        <w:tblW w:type="dxa" w:w="9360"/>
        <w:tblBorders>
          <w:top w:val="single" w:color="E5E1DB" w:sz="4"/>
          <w:left w:val="single" w:color="E5E1DB" w:sz="4"/>
          <w:bottom w:val="single" w:color="E5E1DB" w:sz="4"/>
          <w:right w:val="single" w:color="E5E1DB" w:sz="4"/>
          <w:insideH w:val="single" w:color="E5E1DB" w:sz="4"/>
          <w:insideV w:val="single" w:color="E5E1DB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规格项</w:t>
            </w:r>
          </w:p>
        </w:tc>
        <w:tc>
          <w:tcPr>
            <w:tcW w:type="dxa" w:w="776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值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位置</w:t>
            </w:r>
          </w:p>
        </w:tc>
        <w:tc>
          <w:tcPr>
            <w:tcW w:type="dxa" w:w="7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「TTS 参考音」字段之下、「回答 Prompt」之上；两后台同一组件（AgentDetailView）自动同步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控件</w:t>
            </w:r>
          </w:p>
        </w:tc>
        <w:tc>
          <w:tcPr>
            <w:tcW w:type="dxa" w:w="7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多行输入框（3 行起，可拉伸），右下角实时字数「N / 100」，达上限字数转红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必填</w:t>
            </w:r>
          </w:p>
        </w:tc>
        <w:tc>
          <w:tcPr>
            <w:tcW w:type="dxa" w:w="7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是；为空保存拦截 toast「请输入 TTS 参考音文本」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长度</w:t>
            </w:r>
          </w:p>
        </w:tc>
        <w:tc>
          <w:tcPr>
            <w:tcW w:type="dxa" w:w="7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上限 100 字，按字符数计；输入框 maxLength 直接拦截，保存兜底校验 toast「TTS 参考音文本不能超过 100 字」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字符</w:t>
            </w:r>
          </w:p>
        </w:tc>
        <w:tc>
          <w:tcPr>
            <w:tcW w:type="dxa" w:w="7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不限制字符种类——中英文 / 数字 / 标点 / 符号均可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校验顺序</w:t>
            </w:r>
          </w:p>
        </w:tc>
        <w:tc>
          <w:tcPr>
            <w:tcW w:type="dxa" w:w="7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名称非空 → 名称唯一 → TTS 参考音已上传 → TTS 参考音文本非空 → 长度（与既有 toast 校验链衔接）</w:t>
            </w:r>
          </w:p>
        </w:tc>
      </w:tr>
    </w:tbl>
    <w:p>
      <w:pPr>
        <w:pStyle w:val="Heading2"/>
        <w:spacing w:before="260" w:after="100"/>
      </w:pPr>
      <w:r>
        <w:rPr>
          <w:b/>
          <w:bCs/>
          <w:color w:val="2B2622"/>
          <w:sz w:val="25"/>
          <w:szCs w:val="25"/>
          <w:rFonts w:ascii="PingFang SC" w:cs="PingFang SC" w:eastAsia="PingFang SC" w:hAnsi="PingFang SC"/>
        </w:rPr>
        <w:t xml:space="preserve">3. 微信支付配置新增四参数（机构详情 · 机构配置 · 微信配置）</w:t>
      </w:r>
    </w:p>
    <w:p>
      <w:pPr>
        <w:spacing w:before="60" w:after="60" w:line="300"/>
      </w:pP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四个参数均落位</w:t>
      </w: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微信支付卡片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，不涉及公众号 / 开放平台卡片。字段顺序按「请求签名 → 证书 / 私钥 → 应答验签 → 业务参数」的接入用途组织，落位与理由如下：</w:t>
      </w:r>
    </w:p>
    <w:tbl>
      <w:tblPr>
        <w:tblW w:type="dxa" w:w="9360"/>
        <w:tblBorders>
          <w:top w:val="single" w:color="E5E1DB" w:sz="4"/>
          <w:left w:val="single" w:color="E5E1DB" w:sz="4"/>
          <w:bottom w:val="single" w:color="E5E1DB" w:sz="4"/>
          <w:right w:val="single" w:color="E5E1DB" w:sz="4"/>
          <w:insideH w:val="single" w:color="E5E1DB" w:sz="4"/>
          <w:insideV w:val="single" w:color="E5E1DB" w:sz="4"/>
        </w:tblBorders>
      </w:tblPr>
      <w:tblGrid>
        <w:gridCol w:w="1700"/>
        <w:gridCol w:w="1500"/>
        <w:gridCol w:w="1500"/>
        <w:gridCol w:w="4660"/>
      </w:tblGrid>
      <w:tr>
        <w:trPr>
          <w:tblHeader/>
        </w:trPr>
        <w:tc>
          <w:tcPr>
            <w:tcW w:type="dxa" w:w="17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参数</w:t>
            </w:r>
          </w:p>
        </w:tc>
        <w:tc>
          <w:tcPr>
            <w:tcW w:type="dxa" w:w="15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控件</w:t>
            </w:r>
          </w:p>
        </w:tc>
        <w:tc>
          <w:tcPr>
            <w:tcW w:type="dxa" w:w="15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落位</w:t>
            </w:r>
          </w:p>
        </w:tc>
        <w:tc>
          <w:tcPr>
            <w:tcW w:type="dxa" w:w="466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用途（为什么放这里）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API v2 密钥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掩码文本（32 位）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APIv3 密钥之后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微信支付 v2 版接口签名密钥（商户平台「账户中心-API 安全」设置）。委托代扣（自动续费）的签约 / 扣款接口体系仍走 v2 签名——配置连续包月必需；与 APIv3 密钥并存不互斥，故与 v3 密钥相邻成「密钥组」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支付公钥 ID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文本（PUB_KEY_ID_ 开头）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商户 API 私钥之后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微信支付「公钥模式」验签标识。2024 年起新注册商户默认发放微信支付公钥（替代平台证书轮换机制），验签时按回调头 Wechatpay-Serial 匹配此 ID——属应答验签组，紧跟证书 / 私钥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支付公钥文件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上传 pub_key.pem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支付公钥 ID 之后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与公钥 ID 配套的公钥文件（商户平台下载），验证微信支付应答与回调签名。新商户公钥验签、存量商户平台证书验签，按商户号实际发放形态二选一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委托代扣包月模板 ID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文本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卡片末尾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委托代扣「签约模板」经微信审核通过后分配的模板 ID（plan_id），C 端用户签约连续包月扣费时传入——业务参数，置安全参数之后</w:t>
            </w:r>
          </w:p>
        </w:tc>
      </w:tr>
    </w:tbl>
    <w:p>
      <w:pPr>
        <w:spacing w:before="60" w:after="60" w:line="300"/>
      </w:pPr>
      <w:r>
        <w:rPr>
          <w:color w:val="7A736C"/>
          <w:sz w:val="19"/>
          <w:szCs w:val="19"/>
          <w:rFonts w:ascii="PingFang SC" w:cs="PingFang SC" w:eastAsia="PingFang SC" w:hAnsi="PingFang SC"/>
        </w:rPr>
        <w:t xml:space="preserve">卡片底部限制说明区已同步补充三条：v2 / v3 密钥并存说明、公钥模式验签说明（与平台证书二选一）、代扣模板用途说明。</w:t>
      </w:r>
    </w:p>
    <w:p>
      <w:pPr>
        <w:pStyle w:val="Heading2"/>
        <w:spacing w:before="260" w:after="100"/>
      </w:pPr>
      <w:r>
        <w:rPr>
          <w:b/>
          <w:bCs/>
          <w:color w:val="2B2622"/>
          <w:sz w:val="25"/>
          <w:szCs w:val="25"/>
          <w:rFonts w:ascii="PingFang SC" w:cs="PingFang SC" w:eastAsia="PingFang SC" w:hAnsi="PingFang SC"/>
        </w:rPr>
        <w:t xml:space="preserve">4. 平台机构详情新增 Tab 6「协议文档」（置 Tab 栏末位）</w:t>
      </w:r>
    </w:p>
    <w:p>
      <w:pPr>
        <w:spacing w:before="60" w:after="60" w:line="300"/>
      </w:pP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归档平台与该机构的合作与资质文件：ICP 授权函、微信网站应用登记表、产品截图、合作协议等。</w:t>
      </w: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复用知识产品 KP 知识库的上传弹窗组件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（本批已将其抽为共享组件 UploadModal 并参数化标题 / 格式 / 规格表 / 按钮文案），研发侧零新增组件。</w:t>
      </w:r>
    </w:p>
    <w:tbl>
      <w:tblPr>
        <w:tblW w:type="dxa" w:w="9360"/>
        <w:tblBorders>
          <w:top w:val="single" w:color="E5E1DB" w:sz="4"/>
          <w:left w:val="single" w:color="E5E1DB" w:sz="4"/>
          <w:bottom w:val="single" w:color="E5E1DB" w:sz="4"/>
          <w:right w:val="single" w:color="E5E1DB" w:sz="4"/>
          <w:insideH w:val="single" w:color="E5E1DB" w:sz="4"/>
          <w:insideV w:val="single" w:color="E5E1DB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类别</w:t>
            </w:r>
          </w:p>
        </w:tc>
        <w:tc>
          <w:tcPr>
            <w:tcW w:type="dxa" w:w="376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支持格式</w:t>
            </w:r>
          </w:p>
        </w:tc>
        <w:tc>
          <w:tcPr>
            <w:tcW w:type="dxa" w:w="40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单文件上限（非单次合计）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图片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PNG、JPG、GIF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≤ 20MB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文档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DOC / DOCX、PDF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≤ 50MB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演示文稿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PPT / PPTX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≤ 100MB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批量上传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：多选 + 拖拽入框，每个文件独立进度条，全部完成后方可点「完成上传」；其余格式选择时拦截。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文件列表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：文件名（类型彩色图标，PPT 新增专属橙色图标）/ 类型 / 大小 / 上传时间，各列可排序；按文件名搜索 + 类型筛选。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操作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：下载；删除走二次确认「删除后不可恢复，确认删除「{文件名}」？」。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预置演示数据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 7 条：ICP 授权函.pdf / 微信网站应用登记表.docx / 产品截图 ×2 / 合作协议.pdf / 产品介绍.pptx / 品牌演示.gif（packages/mock/src/data/orgAgreements.ts）。</w:t>
      </w:r>
    </w:p>
    <w:p>
      <w:pPr>
        <w:pStyle w:val="Heading2"/>
        <w:spacing w:before="260" w:after="100"/>
      </w:pPr>
      <w:r>
        <w:rPr>
          <w:b/>
          <w:bCs/>
          <w:color w:val="2B2622"/>
          <w:sz w:val="25"/>
          <w:szCs w:val="25"/>
          <w:rFonts w:ascii="PingFang SC" w:cs="PingFang SC" w:eastAsia="PingFang SC" w:hAnsi="PingFang SC"/>
        </w:rPr>
        <w:t xml:space="preserve">5. 父子机构数据范围（机构后台）</w:t>
      </w:r>
    </w:p>
    <w:p>
      <w:pPr>
        <w:spacing w:before="60" w:after="60" w:line="300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概念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：父机构＝本机构下辖 N 个机构；子机构＝有父机构的机构；独立机构＝无父无子。上线后由登录账号所属机构在机构主数据中的父子关系决定；原型在机构后台顶栏提供〔演示〕三态切换（虚线边样式，明示非上线功能），便于评审预览三类机构的界面差异。</w:t>
      </w:r>
    </w:p>
    <w:tbl>
      <w:tblPr>
        <w:tblW w:type="dxa" w:w="9360"/>
        <w:tblBorders>
          <w:top w:val="single" w:color="E5E1DB" w:sz="4"/>
          <w:left w:val="single" w:color="E5E1DB" w:sz="4"/>
          <w:bottom w:val="single" w:color="E5E1DB" w:sz="4"/>
          <w:right w:val="single" w:color="E5E1DB" w:sz="4"/>
          <w:insideH w:val="single" w:color="E5E1DB" w:sz="4"/>
          <w:insideV w:val="single" w:color="E5E1DB" w:sz="4"/>
        </w:tblBorders>
      </w:tblPr>
      <w:tblGrid>
        <w:gridCol w:w="3060"/>
        <w:gridCol w:w="3760"/>
        <w:gridCol w:w="2540"/>
      </w:tblGrid>
      <w:tr>
        <w:trPr>
          <w:tblHeader/>
        </w:trPr>
        <w:tc>
          <w:tcPr>
            <w:tcW w:type="dxa" w:w="306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页面组</w:t>
            </w:r>
          </w:p>
        </w:tc>
        <w:tc>
          <w:tcPr>
            <w:tcW w:type="dxa" w:w="376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父机构视角</w:t>
            </w:r>
          </w:p>
        </w:tc>
        <w:tc>
          <w:tcPr>
            <w:tcW w:type="dxa" w:w="254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子机构 / 独立机构视角</w:t>
            </w:r>
          </w:p>
        </w:tc>
      </w:tr>
      <w:tr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知识产品 KP · Agent 人设 · C 端用户 · 订单管理 · 兑换码 · 答案反馈（六页）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筛选区新增「机构」</w:t>
            </w:r>
            <w:r>
              <w:rPr>
                <w:b/>
                <w:bCs/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单选</w:t>
            </w: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下拉（全部机构（默认）/ 本机构（带父机构标）/ 各子机构）联动列表；列表 / 卡片展示</w:t>
            </w:r>
            <w:r>
              <w:rPr>
                <w:b/>
                <w:bCs/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数据归属机构名称</w:t>
            </w:r>
          </w:p>
        </w:tc>
        <w:tc>
          <w:tcPr>
            <w:tcW w:type="dxa" w:w="2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保持现状：无机构筛选、无归属列</w:t>
            </w:r>
          </w:p>
        </w:tc>
      </w:tr>
      <w:tr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主控台 · 数据看板（两页）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新增「机构」</w:t>
            </w:r>
            <w:r>
              <w:rPr>
                <w:b/>
                <w:bCs/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多选</w:t>
            </w: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筛选（默认全选、支持跨机构任意组合勾选），全部指标随所选机构集合联动——计数 / 金额类绝对量按集合聚合，率类指标按集合整体口径重算（非简单相加）；导出沿用当前机构集合</w:t>
            </w:r>
          </w:p>
        </w:tc>
        <w:tc>
          <w:tcPr>
            <w:tcW w:type="dxa" w:w="2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保持现状：无机构筛选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数据权限（与平台侧角色权限口径一致，角色权限页三态图例已补说明）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：平台后台角色的「可操作」＝可跨机构操作全平台数据；机构后台角色的「可操作」＝仅针对本机构数据——父机构可见下属子机构数据（列表可筛、看板可汇总），但对子机构数据</w:t>
      </w: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仅可查看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：列表操作置灰（如子机构订单退款）并提示「仅可操作本机构数据」，KP / Agent 详情进入整页只读态（顶部锁形横幅说明归属与原因）。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订单页放宽说明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：原「仅显本机构订单」在父机构视角放宽为「本机构＋全部子机构订单」，新增归属机构列（订单号后）。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原型 mock 口径（仅供联调对照，非上线逻辑）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：子机构演示数据仅父机构视角可见（子 / 独立视角自动隐藏，保证界面与现状一致）；看板联动用机构系数表（本机构 0.62 / 少儿分社 0.23 / 教辅分社 0.15，全选＝1＝现状数值），绝对量 × 系数、率值 / 人均 / 时长不缩放——真实实现应按机构维度聚合查询。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个人中心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：子机构视角展示「上级机构」行，父 / 独立视角不展示。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bCs/>
          <w:color w:val="4B57E8"/>
          <w:sz w:val="30"/>
          <w:szCs w:val="30"/>
          <w:rFonts w:ascii="PingFang SC" w:cs="PingFang SC" w:eastAsia="PingFang SC" w:hAnsi="PingFang SC"/>
        </w:rPr>
        <w:t xml:space="preserve">三、配套文档版本</w:t>
      </w:r>
    </w:p>
    <w:tbl>
      <w:tblPr>
        <w:tblW w:type="dxa" w:w="9360"/>
        <w:tblBorders>
          <w:top w:val="single" w:color="E5E1DB" w:sz="4"/>
          <w:left w:val="single" w:color="E5E1DB" w:sz="4"/>
          <w:bottom w:val="single" w:color="E5E1DB" w:sz="4"/>
          <w:right w:val="single" w:color="E5E1DB" w:sz="4"/>
          <w:insideH w:val="single" w:color="E5E1DB" w:sz="4"/>
          <w:insideV w:val="single" w:color="E5E1DB" w:sz="4"/>
        </w:tblBorders>
      </w:tblPr>
      <w:tblGrid>
        <w:gridCol w:w="2660"/>
        <w:gridCol w:w="1700"/>
        <w:gridCol w:w="5000"/>
      </w:tblGrid>
      <w:tr>
        <w:trPr>
          <w:tblHeader/>
        </w:trPr>
        <w:tc>
          <w:tcPr>
            <w:tcW w:type="dxa" w:w="266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文档</w:t>
            </w:r>
          </w:p>
        </w:tc>
        <w:tc>
          <w:tcPr>
            <w:tcW w:type="dxa" w:w="17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版本变化</w:t>
            </w:r>
          </w:p>
        </w:tc>
        <w:tc>
          <w:tcPr>
            <w:tcW w:type="dxa" w:w="50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本批要点</w:t>
            </w:r>
          </w:p>
        </w:tc>
      </w:tr>
      <w:tr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功能清单（md + xlsx 同源生成）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v2.8 → v2.9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五项修订全部落条目（红标「0806 修订 / 新增」）；上批 0722/0724 标记已冻结为正文常规规则</w:t>
            </w:r>
          </w:p>
        </w:tc>
      </w:tr>
      <w:tr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产品 PRD（docx）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v1.11 → v1.12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新增 v1.12 增量摘要章；同时补录 0724 批四项修订（DAU/WAU/MAU 固定滚动窗口快照定稿、用量看板内容存量板块移除、留存两档、活跃概览页级常驻）——0724 当时未写回 PRD 的欠账本批一并补齐</w:t>
            </w:r>
          </w:p>
        </w:tc>
      </w:tr>
      <w:tr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品牌色影响清单（xlsx）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100 → 111 条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新增 0806 批 11 条：会员四态标 / TTS 字数计数 / 机构类型切换 / 多选下拉 / 归属机构行 / PPT 图标 / 协议文档上传等，均标注复用来源与文件行号</w:t>
            </w:r>
          </w:p>
        </w:tc>
      </w:tr>
    </w:tbl>
    <w:p>
      <w:pPr>
        <w:pStyle w:val="Heading1"/>
        <w:spacing w:before="320" w:after="120"/>
      </w:pPr>
      <w:r>
        <w:rPr>
          <w:b/>
          <w:bCs/>
          <w:color w:val="4B57E8"/>
          <w:sz w:val="30"/>
          <w:szCs w:val="30"/>
          <w:rFonts w:ascii="PingFang SC" w:cs="PingFang SC" w:eastAsia="PingFang SC" w:hAnsi="PingFang SC"/>
        </w:rPr>
        <w:t xml:space="preserve">四、验证结果与体验路径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对抗性测试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：104 / 104 通过（新增 0806 断言 19 条：四态互斥与往返、跨端同人同状态、TTS 规格、微信参数顺序、协议文档规格、机构系数全选＝1、缩放不碰率值等；同时修正 4 条历史批次口径反转后未更新的旧断言）。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导出 spec 测试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：271 / 271 通过（顺手修复存量缺陷：平台主控台续费率环比缺方向标识）。</w:t>
      </w:r>
    </w:p>
    <w:p>
      <w:pPr>
        <w:pStyle w:val="ListParagraph"/>
        <w:numPr>
          <w:ilvl w:val="0"/>
          <w:numId w:val="2"/>
        </w:numPr>
        <w:spacing w:before="30" w:after="30" w:line="296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三端构建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：mobile-h5 / org-admin / platform-admin 全部通过，页面路由清单校验一致。</w:t>
      </w:r>
    </w:p>
    <w:p>
      <w:pPr>
        <w:spacing w:before="120" w:after="60" w:line="300"/>
      </w:pPr>
      <w:r>
        <w:rPr>
          <w:b/>
          <w:bCs/>
          <w:color w:val="2B2622"/>
          <w:sz w:val="21"/>
          <w:szCs w:val="21"/>
          <w:rFonts w:ascii="PingFang SC" w:cs="PingFang SC" w:eastAsia="PingFang SC" w:hAnsi="PingFang SC"/>
        </w:rPr>
        <w:t xml:space="preserve">本地体验路径</w:t>
      </w:r>
      <w:r>
        <w:rPr>
          <w:color w:val="2B2622"/>
          <w:sz w:val="21"/>
          <w:szCs w:val="21"/>
          <w:rFonts w:ascii="PingFang SC" w:cs="PingFang SC" w:eastAsia="PingFang SC" w:hAnsi="PingFang SC"/>
        </w:rPr>
        <w:t xml:space="preserve">（npm run dev 后）：</w:t>
      </w:r>
    </w:p>
    <w:tbl>
      <w:tblPr>
        <w:tblW w:type="dxa" w:w="9360"/>
        <w:tblBorders>
          <w:top w:val="single" w:color="E5E1DB" w:sz="4"/>
          <w:left w:val="single" w:color="E5E1DB" w:sz="4"/>
          <w:bottom w:val="single" w:color="E5E1DB" w:sz="4"/>
          <w:right w:val="single" w:color="E5E1DB" w:sz="4"/>
          <w:insideH w:val="single" w:color="E5E1DB" w:sz="4"/>
          <w:insideV w:val="single" w:color="E5E1DB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修订项</w:t>
            </w:r>
          </w:p>
        </w:tc>
        <w:tc>
          <w:tcPr>
            <w:tcW w:type="dxa" w:w="7360"/>
            <w:shd w:fill="F7F5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7A736C"/>
                <w:sz w:val="19"/>
                <w:szCs w:val="19"/>
                <w:rFonts w:ascii="PingFang SC" w:cs="PingFang SC" w:eastAsia="PingFang SC" w:hAnsi="PingFang SC"/>
              </w:rPr>
              <w:t xml:space="preserve">入口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会员四态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平台后台 5175「全域用户」（列表 / 筛选 / 详情）；机构后台 5174「C 端用户」；两后台「答案反馈」反馈人标；H5 5170「我的」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TTS 参考音文本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机构后台「Agent 人设」任一卡片进编辑；平台后台「全域 Agent」任一卡片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微信支付四参数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平台后台「机构管理」任一机构详情 → 机构配置 → 微信配置 → 微信支付卡片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协议文档 Tab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平台后台机构详情 → 最后一个 Tab「协议文档」（上传 / 下载 / 删除）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父子机构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76"/>
            </w:pP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机构后台 5174 顶栏「演示 · 机构类型」切到</w:t>
            </w:r>
            <w:r>
              <w:rPr>
                <w:b/>
                <w:bCs/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父机构</w:t>
            </w:r>
            <w:r>
              <w:rPr>
                <w:color w:val="2B2622"/>
                <w:sz w:val="19"/>
                <w:szCs w:val="19"/>
                <w:rFonts w:ascii="PingFang SC" w:cs="PingFang SC" w:eastAsia="PingFang SC" w:hAnsi="PingFang SC"/>
              </w:rPr>
              <w:t xml:space="preserve">：六页看机构筛选与归属、点子机构 KP / Agent 看只读态、订单看退款置灰、主控台 / 数据看板看机构多选联动；切回子机构 / 独立机构确认界面与现状一致</w:t>
            </w:r>
          </w:p>
        </w:tc>
      </w:tr>
    </w:tbl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00"/>
      </w:pPr>
      <w:rPr>
        <w:rFonts w:ascii="PingFang SC" w:cs="PingFang SC" w:eastAsia="PingFang SC" w:hAnsi="PingFang S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B2622"/>
        <w:sz w:val="21"/>
        <w:szCs w:val="21"/>
        <w:rFonts w:ascii="PingFang SC" w:cs="PingFang SC" w:eastAsia="PingFang SC" w:hAnsi="PingFang S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2026-08-06T04:20:21.222Z</dcterms:created>
  <dcterms:modified xsi:type="dcterms:W3CDTF">2026-08-06T04:20:21.223Z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