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C97F4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Spatial domain maps for Mouse Brain Anterior and Human Lymph Node</w:t>
      </w:r>
    </w:p>
    <w:p w14:paraId="2AF704F4">
      <w:pPr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1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shows side-by-side spatial maps of the ground-truth annotations and the domain assignments produced by GatorST and competing baseline methods, along with the corresponding ARI values. On both datasets, GatorST attains the highest ARI (mouse brain anterior: 0.483; human lymph node: 0.308) and generates domain patterns that are visually more spatially contiguous and consistent with the ground-truth tissue organization.</w:t>
      </w:r>
    </w:p>
    <w:p w14:paraId="1656F03D">
      <w:r>
        <w:drawing>
          <wp:inline distT="0" distB="0" distL="0" distR="0">
            <wp:extent cx="5731510" cy="4267200"/>
            <wp:effectExtent l="0" t="0" r="2540" b="0"/>
            <wp:docPr id="921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76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6B88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Figure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>1：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Spatial domain benchmarking on Mouse Brain Anterior and Human Lymph Node. (A) Mouse Brain Anterior: histology image and the ground-truth anatomical annotations (top), followed by spatial domain assignments inferred by GatorST and competing baseline methods (bottom). (B) Human Lymph Node: ground-truth region annotations (left) and inferred spatial domains by each method (right).</w:t>
      </w:r>
    </w:p>
    <w:p w14:paraId="57A80361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1794CD8C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BE9F6CA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3EACD0C3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3024A3DF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D85BF02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7EEC98D8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3144725C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73D307BE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Marker and Boundary DEG/GO Validation on DLPFC Section 151674</w:t>
      </w:r>
    </w:p>
    <w:p w14:paraId="13970D27">
      <w:pPr>
        <w:jc w:val="both"/>
        <w:rPr>
          <w:rFonts w:ascii="Times New Roman" w:hAnsi="Times New Roman" w:cs="Times New Roman"/>
          <w:sz w:val="22"/>
          <w:szCs w:val="22"/>
          <w:lang w:val="en-AU"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</w:t>
      </w:r>
      <w:r>
        <w:rPr>
          <w:rFonts w:ascii="Times New Roman" w:hAnsi="Times New Roman" w:cs="Times New Roman"/>
          <w:sz w:val="22"/>
          <w:szCs w:val="22"/>
          <w:lang w:val="en-AU" w:eastAsia="zh-CN"/>
        </w:rPr>
        <w:t xml:space="preserve"> provides an overview of spatial domain identification and boundary validation on DLPFC section 151674. Panels A–C evaluate domain delineation and agreement with manual annotations (predicted domains in A and the contingency matrix in C), while panels D–E validate the biological identity of each domain using canonical cortical-layer and white-matter markers. Panels B and F visualize boundary spots (global boundaries in B, and the L6–WM interface boundaries highlighted in F). We defined spatial domain boundaries using only the </w:t>
      </w:r>
      <w:r>
        <w:rPr>
          <w:rFonts w:ascii="Times New Roman" w:hAnsi="Times New Roman" w:cs="Times New Roman"/>
          <w:sz w:val="22"/>
          <w:szCs w:val="22"/>
          <w:lang w:eastAsia="zh-CN"/>
        </w:rPr>
        <w:t>GatorST</w:t>
      </w:r>
      <w:r>
        <w:rPr>
          <w:rFonts w:ascii="Times New Roman" w:hAnsi="Times New Roman" w:cs="Times New Roman"/>
          <w:sz w:val="22"/>
          <w:szCs w:val="22"/>
          <w:lang w:val="en-AU" w:eastAsia="zh-CN"/>
        </w:rPr>
        <w:t>’s predicted labels and the 2D spot coordinates: we built a k-nearest-neighbor (kNN) graph from spot locations using Euclidean distance (k = 5) and marked a spot as a boundary spot if at least one of its k nearest neighbors (excluding itself) had a different predicted domain label. Panels G–H then characterize boundary-associated transcriptional shifts at the L6–WM interface via boundary-focused differential expression (DE) and Gene Ontology (GO) enrichment analyses.</w:t>
      </w:r>
    </w:p>
    <w:p w14:paraId="7239915C">
      <w:pPr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>On DLPFC section 151674, GatorST delineated seven spatial domains corresponding to cortical layers (L1–L6) and white matter (WM), achieving an ARI of 0.731 against manual annotations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2A–2C</w:t>
      </w:r>
      <w:r>
        <w:rPr>
          <w:rFonts w:ascii="Times New Roman" w:hAnsi="Times New Roman" w:cs="Times New Roman"/>
          <w:sz w:val="22"/>
          <w:szCs w:val="22"/>
          <w:lang w:eastAsia="zh-CN"/>
        </w:rPr>
        <w:t>). The row-normalized contingency matrix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showed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high domain purity for L1 (99%), L4 (97%), L5 (98%), L6 (92%), and WM (98%), with the main ambiguity observed between adjacent superficial layers (L2/L3)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2C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). 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>C</w:t>
      </w:r>
      <w:r>
        <w:rPr>
          <w:rFonts w:ascii="Times New Roman" w:hAnsi="Times New Roman" w:cs="Times New Roman"/>
          <w:sz w:val="22"/>
          <w:szCs w:val="22"/>
          <w:lang w:eastAsia="zh-CN"/>
        </w:rPr>
        <w:t>anonical laminar and WM markers further supported the biological identity of these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domains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eastAsia="zh-CN"/>
        </w:rPr>
        <w:t>RELN (Reelin)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was </w:t>
      </w:r>
      <w:r>
        <w:rPr>
          <w:rFonts w:ascii="Times New Roman" w:hAnsi="Times New Roman" w:cs="Times New Roman"/>
          <w:sz w:val="22"/>
          <w:szCs w:val="22"/>
          <w:lang w:eastAsia="zh-CN"/>
        </w:rPr>
        <w:t>enriched in superficial cortex and MOBP (a myelin/oligodendrocyte marker)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was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 enriched in WM, while CALB1/PCP4 and NEFH showed layer-biased patterns across upper and deep layers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2D–2E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). </w:t>
      </w:r>
    </w:p>
    <w:p w14:paraId="13F46CA5">
      <w:pPr>
        <w:jc w:val="both"/>
        <w:rPr>
          <w:sz w:val="22"/>
          <w:szCs w:val="22"/>
          <w:lang w:val="en-AU"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>To further interpret domain boundaries, we focused on boundary spots along the L6–WM interface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2F</w:t>
      </w:r>
      <w:r>
        <w:rPr>
          <w:rFonts w:ascii="Times New Roman" w:hAnsi="Times New Roman" w:cs="Times New Roman"/>
          <w:sz w:val="22"/>
          <w:szCs w:val="22"/>
          <w:lang w:eastAsia="zh-CN"/>
        </w:rPr>
        <w:t>) and performed boundary-focused differential expression (DE) analysis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comparing L6-side versus WM-side boundary spots. This analysis identified neuronal-associated differentially expressed genes (DEGs, e.g., OLFM1, ENC1, VSNL1) on the L6 side and myelination/oligodendrocyte-associated DEGs (e.g., MBP, PLP1, MOBP) on the WM side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2G</w:t>
      </w:r>
      <w:r>
        <w:rPr>
          <w:rFonts w:ascii="Times New Roman" w:hAnsi="Times New Roman" w:cs="Times New Roman"/>
          <w:sz w:val="22"/>
          <w:szCs w:val="22"/>
          <w:lang w:eastAsia="zh-CN"/>
        </w:rPr>
        <w:t>). Gene Ontology (GO) enrichment of boundary DEGs further highlighted calcium/ion-transport and neurite-related processes on the L6 side, whereas myelination and oligodendrocyte development/differentiation terms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were enriched on the WM side (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2H</w:t>
      </w:r>
      <w:r>
        <w:rPr>
          <w:rFonts w:ascii="Times New Roman" w:hAnsi="Times New Roman" w:cs="Times New Roman"/>
          <w:sz w:val="22"/>
          <w:szCs w:val="22"/>
          <w:lang w:eastAsia="zh-CN"/>
        </w:rPr>
        <w:t>)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cs="Times New Roman"/>
          <w:sz w:val="22"/>
          <w:szCs w:val="22"/>
          <w:lang w:eastAsia="zh-CN"/>
        </w:rPr>
        <w:t>Together, these results indicate that GatorST captures biologically meaningful transitions at spatial domain boundaries.</w:t>
      </w:r>
    </w:p>
    <w:p w14:paraId="1D99F12A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drawing>
          <wp:inline distT="0" distB="0" distL="0" distR="0">
            <wp:extent cx="5731510" cy="4649470"/>
            <wp:effectExtent l="0" t="0" r="2540" b="0"/>
            <wp:docPr id="25950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0384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EE58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Figure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>2: Boundary interpretation on DLPFC section 151674. (A) GatorST-predicted spatial domains (L1–L6 and WM). (B) Boundary spots identified from predicted labels using a kNN graph on 2D spot coordinates (k = 5; label disagreement with ≥1 neighbor). (C) Row-normal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ized contingency matrix comparing predicted domains with manual layer/WM annotations. (D–E) Canonical laminar and WM markers validate domain identities. (F–H) Boundary analysis at the L6–WM interface: (F) interface boundary spots, (G) boundary DEGs, and (H) GO enrichment, highlighting neuronal signatures in L6 versus myelination/oligodendrocyte signatures in WM.</w:t>
      </w:r>
    </w:p>
    <w:p w14:paraId="1DE21979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1728051D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F56F469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1800C37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125E89D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75A84DF6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77FFF14D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110DA5AF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530D71B1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44F9095">
      <w:pPr>
        <w:jc w:val="both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2CD4E3D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Robustness across episodic configurations</w:t>
      </w:r>
    </w:p>
    <w:p w14:paraId="6D8A5435">
      <w:pPr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 xml:space="preserve">To evaluate the sensitivity of GatorST to the episodic meta-learning configuration, we varied the N-way M-shot setting with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,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2"/>
                <w:szCs w:val="22"/>
                <w:lang w:eastAsia="zh-C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6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,</m:t>
            </m:r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7</m:t>
            </m:r>
            <m:ctrlPr>
              <w:rPr>
                <w:rFonts w:ascii="Cambria Math" w:hAnsi="Cambria Math" w:cs="Times New Roman"/>
                <w:sz w:val="22"/>
                <w:szCs w:val="22"/>
                <w:lang w:eastAsia="zh-CN"/>
              </w:rPr>
            </m:ctrlPr>
          </m:e>
        </m:d>
        <m:r>
          <m:rPr/>
          <w:rPr>
            <w:rFonts w:ascii="Cambria Math" w:hAnsi="Cambria Math" w:cs="Times New Roman"/>
            <w:sz w:val="22"/>
            <w:szCs w:val="22"/>
            <w:lang w:eastAsia="zh-CN"/>
          </w:rPr>
          <m:t xml:space="preserve"> 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>and assessed performance on two representative datasets from different platforms: the Visium DLPFC slice 151676 and the Stereo-seq E9.5 mouse embryo dataset (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 xml:space="preserve">as shown in 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Figure 3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). Overall, the performance patterns were relatively stable across a range of episodic configurations, suggesting that GatorST is robust to moderate changes in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 xml:space="preserve">N 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M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 xml:space="preserve">. On the Visium dataset, the strongest overall performance was observed when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eastAsia="zh-CN"/>
          </w:rPr>
          <m:t>3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 xml:space="preserve">, with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eastAsia="zh-CN"/>
          </w:rPr>
          <m:t xml:space="preserve">5 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 xml:space="preserve">yielding the highest NMI, ACC, and Purity and near-best ARI and Homogeneity. On the Stereo-seq mouse embryo dataset, performance was likewise consistently strong across multiple settings, with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eastAsia="zh-CN"/>
          </w:rPr>
          <m:t xml:space="preserve">5 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eastAsia="zh-CN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eastAsia="zh-CN"/>
          </w:rPr>
          <m:t xml:space="preserve">3 </m:t>
        </m:r>
      </m:oMath>
      <w:r>
        <w:rPr>
          <w:rFonts w:ascii="Times New Roman" w:hAnsi="Times New Roman" w:cs="Times New Roman"/>
          <w:sz w:val="22"/>
          <w:szCs w:val="22"/>
          <w:lang w:eastAsia="zh-CN"/>
        </w:rPr>
        <w:t>achieving the highest NMI and Homogeneity, tied-best Purity, and near-best ARI and ACC. Taken together, these results indicate that a moderate N-way, low-shot episodic design provides a favorable balance between performance and robustness across platforms.</w:t>
      </w:r>
    </w:p>
    <w:p w14:paraId="03E0A233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drawing>
          <wp:inline distT="0" distB="0" distL="0" distR="0">
            <wp:extent cx="5731510" cy="2292350"/>
            <wp:effectExtent l="0" t="0" r="2540" b="0"/>
            <wp:docPr id="135011033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10331" name="图片 1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292F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Figure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 xml:space="preserve">3: 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Sensitivity analysis of the N-way M-shot episodic design. Heatmaps show ARI, NMI, ACC, Purity, and Homogeneity under different episodic configurations with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>N,M∈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  <w:lang w:eastAsia="zh-CN"/>
              </w:rPr>
              <m:t>3,4,5,6,7</m:t>
            </m: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  <w:lang w:eastAsia="zh-CN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eastAsia="zh-CN"/>
          </w:rPr>
          <m:t xml:space="preserve"> </m:t>
        </m:r>
      </m:oMath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on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 xml:space="preserve">representative 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Visium dataset (151676; panel A) and Stereo-seq dataset (E9.5 mouse embryo; panel B). Higher values indicate better performance for all metrics. </w:t>
      </w:r>
    </w:p>
    <w:p w14:paraId="0111F189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8E57675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468EC99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AB8F013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81DAB29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005E6F2D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8625596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9498A01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B8C129C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00E19EFD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53E7724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F7CA87E">
      <w:pPr>
        <w:spacing w:after="140"/>
        <w:rPr>
          <w:rFonts w:ascii="Times New Roman" w:hAnsi="Times New Roman"/>
          <w:b/>
          <w:lang w:eastAsia="zh-CN"/>
        </w:rPr>
      </w:pPr>
    </w:p>
    <w:p w14:paraId="75FABC0D">
      <w:pPr>
        <w:jc w:val="center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>1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2"/>
          <w:szCs w:val="22"/>
          <w:lang w:eastAsia="zh-CN"/>
        </w:rPr>
        <w:t>N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otation used in GatorST</w:t>
      </w:r>
    </w:p>
    <w:tbl>
      <w:tblPr>
        <w:tblStyle w:val="16"/>
        <w:tblW w:w="473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7465"/>
      </w:tblGrid>
      <w:tr w14:paraId="092DC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3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0D343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Notation</w:t>
            </w:r>
          </w:p>
        </w:tc>
        <w:tc>
          <w:tcPr>
            <w:tcW w:w="426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98CE44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Definition</w:t>
            </w:r>
          </w:p>
        </w:tc>
      </w:tr>
      <w:tr w14:paraId="27CBE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3C4ED13C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G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36BDBB6C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Spot-spot graph representing spatial transcriptomic data.</w:t>
            </w:r>
          </w:p>
        </w:tc>
      </w:tr>
      <w:tr w14:paraId="29F7F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53C8674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V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4A2FE1D8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Set of nodes/spots in the spot-spot graph.</w:t>
            </w:r>
          </w:p>
        </w:tc>
      </w:tr>
      <w:tr w14:paraId="4327863C"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281A8E6B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ℰ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1DD6592B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Set of edges connecting neighboring nodes in the spot-spot graph.</w:t>
            </w:r>
          </w:p>
        </w:tc>
      </w:tr>
      <w:tr w14:paraId="623BE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5E558DC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X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132DE1CB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Gene-expression matrix of all spots after preprocessing.</w:t>
            </w:r>
          </w:p>
        </w:tc>
      </w:tr>
      <w:tr w14:paraId="0C00D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2F1755E3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A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2D46B0FE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Adjacency matrix encoding the connectivity of the spot-spot graph.</w:t>
            </w:r>
          </w:p>
        </w:tc>
      </w:tr>
      <w:tr w14:paraId="7CCE2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18465601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  <m:t>v</m:t>
                        </m: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  <m:t>v</m:t>
                        </m: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  <m:t>j</m:t>
                        </m: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eastAsia="zh-CN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</m:d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D5E1165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Similarity score between nodes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j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, computed from their spatial locations.</w:t>
            </w:r>
          </w:p>
        </w:tc>
      </w:tr>
      <w:tr w14:paraId="0A17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0D106D17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G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4A35B970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Two-hop local subgraph centered at node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v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, used for subgraph-based representation learning.</w:t>
            </w:r>
          </w:p>
        </w:tc>
      </w:tr>
      <w:tr w14:paraId="35E03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4E07DAFC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1E68CF2A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Set of nodes contained in the local subgraph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G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</w:p>
        </w:tc>
      </w:tr>
      <w:tr w14:paraId="7153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76453AE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ℰ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8F2AFED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Set of edges contained in the local subgraph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G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</w:p>
        </w:tc>
      </w:tr>
      <w:tr w14:paraId="5F260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3BCABECF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6C06E257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Gene-expression matrix associated with the nodes in the local subgraph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G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  <w:lang w:eastAsia="zh-CN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</w:p>
        </w:tc>
      </w:tr>
      <w:tr w14:paraId="1C4AD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50E5DFD0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1DC7FD3D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Set of two-hop neighboring nodes of node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v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</w:p>
        </w:tc>
      </w:tr>
      <w:tr w14:paraId="78C74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7EF48F08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,</m:t>
                    </m:r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</m:d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07202F67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Shortest-path distance between nodes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v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 and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u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 in the spot-spot graph.</w:t>
            </w:r>
          </w:p>
        </w:tc>
      </w:tr>
      <w:tr w14:paraId="0BA31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0F374F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7E51D54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Learned 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eastAsia="zh-CN"/>
              </w:rPr>
              <w:t>representation</w:t>
            </w: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 of node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v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.</w:t>
            </w:r>
          </w:p>
        </w:tc>
      </w:tr>
      <w:tr w14:paraId="49442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09D9E07B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K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06857773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Number of clusters used in soft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highlight w:val="none"/>
                  <w:lang w:eastAsia="zh-CN"/>
                </w:rPr>
                <m:t>K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-means pseudo-labeling.</w:t>
            </w:r>
          </w:p>
        </w:tc>
      </w:tr>
      <w:tr w14:paraId="2879C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5601DDB3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20A30168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Hard pseudo-label assigne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d to node </w:t>
            </w:r>
            <m:oMath>
              <m:r>
                <m:rPr/>
                <w:rPr>
                  <w:rFonts w:ascii="Cambria Math" w:hAnsi="Cambria Math" w:cs="Times New Roman"/>
                  <w:sz w:val="22"/>
                  <w:szCs w:val="22"/>
                  <w:lang w:eastAsia="zh-CN"/>
                </w:rPr>
                <m:t>i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 after soft clustering.</w:t>
            </w:r>
          </w:p>
        </w:tc>
      </w:tr>
      <w:tr w14:paraId="4DCCE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624A3157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S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353B829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Support set in an episodic meta-training task.</w:t>
            </w:r>
          </w:p>
        </w:tc>
      </w:tr>
      <w:tr w14:paraId="759BE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4930DB1F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Q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725302B5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Query set in an episodic meta-training task.</w:t>
            </w:r>
          </w:p>
        </w:tc>
      </w:tr>
      <w:tr w14:paraId="0E1F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780AF20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T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6F4F31A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Meta-training tasks are constructed from the support set and query set in episodic training.</w:t>
            </w:r>
          </w:p>
        </w:tc>
      </w:tr>
      <w:tr w14:paraId="1C855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5A714B7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N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4768DA23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Number of randomly sampled classes in an N-way episodic task.</w:t>
            </w:r>
          </w:p>
        </w:tc>
      </w:tr>
      <w:tr w14:paraId="3CE82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38" w:type="pct"/>
            <w:tcBorders>
              <w:top w:val="nil"/>
              <w:left w:val="nil"/>
              <w:bottom w:val="nil"/>
            </w:tcBorders>
            <w:vAlign w:val="center"/>
          </w:tcPr>
          <w:p w14:paraId="433EBC17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M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nil"/>
            </w:tcBorders>
            <w:vAlign w:val="center"/>
          </w:tcPr>
          <w:p w14:paraId="58C29C04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Number of sample nodes per class in the support set (i.e., M-shot).</w:t>
            </w:r>
          </w:p>
        </w:tc>
      </w:tr>
      <w:tr w14:paraId="03B9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38" w:type="pct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0500E8F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sz w:val="22"/>
                    <w:szCs w:val="22"/>
                    <w:lang w:eastAsia="zh-CN"/>
                  </w:rPr>
                  <m:t>τ</m:t>
                </m:r>
              </m:oMath>
            </m:oMathPara>
          </w:p>
        </w:tc>
        <w:tc>
          <w:tcPr>
            <w:tcW w:w="4261" w:type="pct"/>
            <w:tcBorders>
              <w:top w:val="nil"/>
              <w:bottom w:val="single" w:color="auto" w:sz="4" w:space="0"/>
            </w:tcBorders>
            <w:vAlign w:val="center"/>
          </w:tcPr>
          <w:p w14:paraId="0A4B3EEC">
            <w:pPr>
              <w:spacing w:after="0"/>
              <w:jc w:val="both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Temperature parameter in the contrastive objective, controlling the sharpness of the similarity distribution.</w:t>
            </w:r>
          </w:p>
        </w:tc>
      </w:tr>
    </w:tbl>
    <w:p w14:paraId="2F45E341">
      <w:pPr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80"/>
    <w:rsid w:val="000006DB"/>
    <w:rsid w:val="00000799"/>
    <w:rsid w:val="00006AF8"/>
    <w:rsid w:val="00010337"/>
    <w:rsid w:val="00025541"/>
    <w:rsid w:val="00030F16"/>
    <w:rsid w:val="00045DC2"/>
    <w:rsid w:val="000578D9"/>
    <w:rsid w:val="00063D59"/>
    <w:rsid w:val="000666E5"/>
    <w:rsid w:val="00083501"/>
    <w:rsid w:val="000B058F"/>
    <w:rsid w:val="000B26A4"/>
    <w:rsid w:val="000D1111"/>
    <w:rsid w:val="000D40F9"/>
    <w:rsid w:val="000E3F06"/>
    <w:rsid w:val="000E6C38"/>
    <w:rsid w:val="000F0A01"/>
    <w:rsid w:val="00102D3A"/>
    <w:rsid w:val="00103030"/>
    <w:rsid w:val="001049FB"/>
    <w:rsid w:val="00112B6B"/>
    <w:rsid w:val="001131F4"/>
    <w:rsid w:val="00133D24"/>
    <w:rsid w:val="0014611D"/>
    <w:rsid w:val="001536CA"/>
    <w:rsid w:val="00154457"/>
    <w:rsid w:val="00155EAD"/>
    <w:rsid w:val="00162752"/>
    <w:rsid w:val="00182915"/>
    <w:rsid w:val="00194250"/>
    <w:rsid w:val="00194C5F"/>
    <w:rsid w:val="001A05BA"/>
    <w:rsid w:val="001B494F"/>
    <w:rsid w:val="001D636D"/>
    <w:rsid w:val="001F0964"/>
    <w:rsid w:val="00200EA4"/>
    <w:rsid w:val="00204BF3"/>
    <w:rsid w:val="002077DF"/>
    <w:rsid w:val="00284C59"/>
    <w:rsid w:val="002861E0"/>
    <w:rsid w:val="00294583"/>
    <w:rsid w:val="002A251A"/>
    <w:rsid w:val="002B4951"/>
    <w:rsid w:val="002B7521"/>
    <w:rsid w:val="00313CBA"/>
    <w:rsid w:val="003155EB"/>
    <w:rsid w:val="00320F68"/>
    <w:rsid w:val="0032428A"/>
    <w:rsid w:val="00334B3C"/>
    <w:rsid w:val="003357E8"/>
    <w:rsid w:val="00343180"/>
    <w:rsid w:val="0035368F"/>
    <w:rsid w:val="00355DC9"/>
    <w:rsid w:val="00356027"/>
    <w:rsid w:val="00380DC9"/>
    <w:rsid w:val="00381491"/>
    <w:rsid w:val="00382C3F"/>
    <w:rsid w:val="00384A67"/>
    <w:rsid w:val="00385AF8"/>
    <w:rsid w:val="00390E09"/>
    <w:rsid w:val="003A30C9"/>
    <w:rsid w:val="003B7568"/>
    <w:rsid w:val="003D294D"/>
    <w:rsid w:val="003E18F4"/>
    <w:rsid w:val="003E4C8A"/>
    <w:rsid w:val="003E73D3"/>
    <w:rsid w:val="003F4F3D"/>
    <w:rsid w:val="00401CC6"/>
    <w:rsid w:val="0040443E"/>
    <w:rsid w:val="0041041D"/>
    <w:rsid w:val="00423186"/>
    <w:rsid w:val="00425D3F"/>
    <w:rsid w:val="004322DA"/>
    <w:rsid w:val="0044606E"/>
    <w:rsid w:val="0045312A"/>
    <w:rsid w:val="00456D2C"/>
    <w:rsid w:val="00467443"/>
    <w:rsid w:val="00473395"/>
    <w:rsid w:val="00473D93"/>
    <w:rsid w:val="0048360E"/>
    <w:rsid w:val="004C097C"/>
    <w:rsid w:val="004C1836"/>
    <w:rsid w:val="004C5DED"/>
    <w:rsid w:val="004E18CE"/>
    <w:rsid w:val="004E7E61"/>
    <w:rsid w:val="00500418"/>
    <w:rsid w:val="0052727A"/>
    <w:rsid w:val="005320D9"/>
    <w:rsid w:val="005334CA"/>
    <w:rsid w:val="00541D78"/>
    <w:rsid w:val="00546AE9"/>
    <w:rsid w:val="00555015"/>
    <w:rsid w:val="00561641"/>
    <w:rsid w:val="0056438E"/>
    <w:rsid w:val="00566416"/>
    <w:rsid w:val="005669DF"/>
    <w:rsid w:val="00582289"/>
    <w:rsid w:val="00583427"/>
    <w:rsid w:val="00585894"/>
    <w:rsid w:val="00585ECD"/>
    <w:rsid w:val="005A720C"/>
    <w:rsid w:val="005B5BCC"/>
    <w:rsid w:val="005E46E8"/>
    <w:rsid w:val="005F0FBA"/>
    <w:rsid w:val="005F6C2A"/>
    <w:rsid w:val="00601352"/>
    <w:rsid w:val="00617453"/>
    <w:rsid w:val="00621F8E"/>
    <w:rsid w:val="006377C7"/>
    <w:rsid w:val="00637C0D"/>
    <w:rsid w:val="00646693"/>
    <w:rsid w:val="00652EFB"/>
    <w:rsid w:val="00661FB2"/>
    <w:rsid w:val="00685EB7"/>
    <w:rsid w:val="006A1ABA"/>
    <w:rsid w:val="006A3456"/>
    <w:rsid w:val="006B6655"/>
    <w:rsid w:val="006C0D02"/>
    <w:rsid w:val="006D0DCE"/>
    <w:rsid w:val="006E0ACC"/>
    <w:rsid w:val="006E27FC"/>
    <w:rsid w:val="006E5036"/>
    <w:rsid w:val="006E7492"/>
    <w:rsid w:val="006F5AAF"/>
    <w:rsid w:val="00713E1A"/>
    <w:rsid w:val="00716690"/>
    <w:rsid w:val="0072642F"/>
    <w:rsid w:val="00740E32"/>
    <w:rsid w:val="00744910"/>
    <w:rsid w:val="00745F31"/>
    <w:rsid w:val="0075577A"/>
    <w:rsid w:val="0076258A"/>
    <w:rsid w:val="007644B0"/>
    <w:rsid w:val="00786815"/>
    <w:rsid w:val="00792072"/>
    <w:rsid w:val="00796E2F"/>
    <w:rsid w:val="00797718"/>
    <w:rsid w:val="00797DF6"/>
    <w:rsid w:val="007A7ADE"/>
    <w:rsid w:val="007B5773"/>
    <w:rsid w:val="007C7A9D"/>
    <w:rsid w:val="007E1A39"/>
    <w:rsid w:val="007E777D"/>
    <w:rsid w:val="00821DB3"/>
    <w:rsid w:val="0083395B"/>
    <w:rsid w:val="00847149"/>
    <w:rsid w:val="00851E05"/>
    <w:rsid w:val="0085223E"/>
    <w:rsid w:val="008571DA"/>
    <w:rsid w:val="00870B2C"/>
    <w:rsid w:val="00874B50"/>
    <w:rsid w:val="00880ADE"/>
    <w:rsid w:val="008824FA"/>
    <w:rsid w:val="008A3B7A"/>
    <w:rsid w:val="008B20DD"/>
    <w:rsid w:val="008C7458"/>
    <w:rsid w:val="008F2516"/>
    <w:rsid w:val="00922969"/>
    <w:rsid w:val="009365B7"/>
    <w:rsid w:val="00940267"/>
    <w:rsid w:val="00940EBF"/>
    <w:rsid w:val="0095290C"/>
    <w:rsid w:val="009535E9"/>
    <w:rsid w:val="00962DA6"/>
    <w:rsid w:val="00997354"/>
    <w:rsid w:val="009A5FA1"/>
    <w:rsid w:val="009B47CC"/>
    <w:rsid w:val="009F0B7B"/>
    <w:rsid w:val="009F5A0B"/>
    <w:rsid w:val="00A0086E"/>
    <w:rsid w:val="00A15567"/>
    <w:rsid w:val="00A2032B"/>
    <w:rsid w:val="00A30FC3"/>
    <w:rsid w:val="00A55C59"/>
    <w:rsid w:val="00A56B78"/>
    <w:rsid w:val="00A61450"/>
    <w:rsid w:val="00A63720"/>
    <w:rsid w:val="00A82B3F"/>
    <w:rsid w:val="00A832BC"/>
    <w:rsid w:val="00AB01D2"/>
    <w:rsid w:val="00AB74F5"/>
    <w:rsid w:val="00AC4FC7"/>
    <w:rsid w:val="00B06306"/>
    <w:rsid w:val="00B11874"/>
    <w:rsid w:val="00B148A5"/>
    <w:rsid w:val="00B20AA3"/>
    <w:rsid w:val="00B20B40"/>
    <w:rsid w:val="00B21ACB"/>
    <w:rsid w:val="00B21F44"/>
    <w:rsid w:val="00B40C30"/>
    <w:rsid w:val="00B42067"/>
    <w:rsid w:val="00B60C76"/>
    <w:rsid w:val="00B6753F"/>
    <w:rsid w:val="00B76223"/>
    <w:rsid w:val="00B91B94"/>
    <w:rsid w:val="00B94052"/>
    <w:rsid w:val="00B95377"/>
    <w:rsid w:val="00BB60EE"/>
    <w:rsid w:val="00C00268"/>
    <w:rsid w:val="00C02FB6"/>
    <w:rsid w:val="00C05C69"/>
    <w:rsid w:val="00C109CA"/>
    <w:rsid w:val="00C133A4"/>
    <w:rsid w:val="00C13DEA"/>
    <w:rsid w:val="00C2328F"/>
    <w:rsid w:val="00C26246"/>
    <w:rsid w:val="00C40CED"/>
    <w:rsid w:val="00C4760F"/>
    <w:rsid w:val="00C56807"/>
    <w:rsid w:val="00C77B47"/>
    <w:rsid w:val="00C80BB7"/>
    <w:rsid w:val="00C87EF9"/>
    <w:rsid w:val="00C904B2"/>
    <w:rsid w:val="00C911D4"/>
    <w:rsid w:val="00C9342D"/>
    <w:rsid w:val="00CA28C5"/>
    <w:rsid w:val="00CB663D"/>
    <w:rsid w:val="00CB7270"/>
    <w:rsid w:val="00CC4228"/>
    <w:rsid w:val="00CC59F9"/>
    <w:rsid w:val="00CD69AA"/>
    <w:rsid w:val="00CE415B"/>
    <w:rsid w:val="00D03523"/>
    <w:rsid w:val="00D33AD9"/>
    <w:rsid w:val="00D44415"/>
    <w:rsid w:val="00D44B51"/>
    <w:rsid w:val="00D55138"/>
    <w:rsid w:val="00D6170A"/>
    <w:rsid w:val="00D73C44"/>
    <w:rsid w:val="00DA58D7"/>
    <w:rsid w:val="00DB7205"/>
    <w:rsid w:val="00DD0705"/>
    <w:rsid w:val="00DE2551"/>
    <w:rsid w:val="00DE3ADF"/>
    <w:rsid w:val="00DE607B"/>
    <w:rsid w:val="00DF0C5B"/>
    <w:rsid w:val="00DF2984"/>
    <w:rsid w:val="00E1043E"/>
    <w:rsid w:val="00E161F7"/>
    <w:rsid w:val="00E33F99"/>
    <w:rsid w:val="00E404A2"/>
    <w:rsid w:val="00E47C9B"/>
    <w:rsid w:val="00E60681"/>
    <w:rsid w:val="00E62DAD"/>
    <w:rsid w:val="00E64FE9"/>
    <w:rsid w:val="00E72C38"/>
    <w:rsid w:val="00E80098"/>
    <w:rsid w:val="00E81049"/>
    <w:rsid w:val="00E87C82"/>
    <w:rsid w:val="00EB0818"/>
    <w:rsid w:val="00EB64B1"/>
    <w:rsid w:val="00EC488F"/>
    <w:rsid w:val="00ED233B"/>
    <w:rsid w:val="00EF606C"/>
    <w:rsid w:val="00F02603"/>
    <w:rsid w:val="00F10E05"/>
    <w:rsid w:val="00F17E78"/>
    <w:rsid w:val="00F22EFE"/>
    <w:rsid w:val="00F71E12"/>
    <w:rsid w:val="00F73CD0"/>
    <w:rsid w:val="00F86749"/>
    <w:rsid w:val="00F93221"/>
    <w:rsid w:val="00F93588"/>
    <w:rsid w:val="00F9397A"/>
    <w:rsid w:val="00FA0CCD"/>
    <w:rsid w:val="00FA1709"/>
    <w:rsid w:val="00FA5AD0"/>
    <w:rsid w:val="00FB33C2"/>
    <w:rsid w:val="00FC5154"/>
    <w:rsid w:val="00FE13AF"/>
    <w:rsid w:val="00FF3EF4"/>
    <w:rsid w:val="00FF6094"/>
    <w:rsid w:val="2F01706A"/>
    <w:rsid w:val="771A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Theme="minorHAnsi" w:hAnsiTheme="minorHAnsi" w:eastAsiaTheme="minorEastAsia" w:cstheme="minorBidi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en-AU" w:eastAsia="zh-C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lang w:val="en-AU" w:eastAsia="zh-C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AU"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lang w:val="en-AU"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/>
    </w:pPr>
    <w:rPr>
      <w:kern w:val="2"/>
      <w:lang w:val="en-AU" w:eastAsia="zh-CN"/>
      <w14:ligatures w14:val="standardContextual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/>
    </w:pPr>
    <w:rPr>
      <w:kern w:val="2"/>
      <w:lang w:val="en-AU" w:eastAsia="zh-CN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3 字符"/>
    <w:basedOn w:val="17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AU"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lang w:val="en-AU" w:eastAsia="zh-CN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</w:style>
  <w:style w:type="character" w:customStyle="1" w:styleId="37">
    <w:name w:val="页脚 字符"/>
    <w:basedOn w:val="17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814</Words>
  <Characters>4781</Characters>
  <Lines>50</Lines>
  <Paragraphs>14</Paragraphs>
  <TotalTime>0</TotalTime>
  <ScaleCrop>false</ScaleCrop>
  <LinksUpToDate>false</LinksUpToDate>
  <CharactersWithSpaces>5547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2026-02-20T20:52:00Z</dcterms:created>
  <dc:creator>Liu, Yuxi</dc:creator>
  <cp:lastModifiedBy>宇宙边缘青年...</cp:lastModifiedBy>
  <dcterms:modified xsi:type="dcterms:W3CDTF">2026-03-31T03:15:41Z</dcterms:modified>
  <cp:revision>1446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eyJoZGlkIjoiYWE4ZjU3OTBiODliMzhkMmJiYmNiZGE0NTczYzJmYzkiLCJ1c2VySWQiOiIzOTY5MDEyNTYifQ==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53258D67818F4AA887204F2A2DD555FF_13</vt:lpwstr>
  </property>
</Properties>
</file>