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rticle-Title"/>
      </w:pPr>
      <w:r>
        <w:t>Lightweight State-Conditioned Dynamic Task Sharing for Multi-Energy Load Forecasting: Explicit Evaluation of Negative Transfer</w:t>
      </w:r>
    </w:p>
    <w:p>
      <w:pPr>
        <w:pStyle w:val="Head1"/>
      </w:pPr>
      <w:r>
        <w:t>1. INTRODUCTION</w:t>
      </w:r>
    </w:p>
    <w:p>
      <w:pPr>
        <w:pStyle w:val="Para"/>
      </w:pPr>
      <w:r>
        <w:t>With the coordinated operation of electricity, cooling, heating, gas, and other energy carriers in integrated energy systems (IESs), accurate multi-energy load forecasting has become essential for energy planning, optimal dispatch, and demand response. A recent review systematically summarizes the applications and development trends of artificial-intelligence methods for multi-energy load forecasting in IESs [1]. For small-sample IESs, neural networks, Gaussian processes, and multi-task learning have been combined to exploit complementary information across multiple load types [2]. For user-level IESs, global–local attention and multiple decoders have been used to represent shared patterns and task-specific dynamics separately [3]. Unlike conventional electricity load forecasting, multi-energy load forecasting must capture both the temporal patterns of individual loads and the cross-energy relationships induced by energy-conversion devices, weather conditions, calendar attributes, and user behavior. Training an independent model for each load may discard useful information shared across tasks, whereas indiscriminately feeding all variables into a common model may obscure load-specific dynamics. Joint multi-energy forecasting must therefore balance the exploitation of common patterns against the preservation of task-specific characteristics.</w:t>
      </w:r>
    </w:p>
    <w:p>
      <w:pPr>
        <w:pStyle w:val="Para"/>
      </w:pPr>
      <w:r>
        <w:t>This balance is difficult because the relationships among energy tasks are state-dependent and potentially directional. A dynamic-coupling study characterizes time-varying relationships among different energy loads [4]. Research that explicitly considers meteorological variations further shows that weather conditions can change the association patterns among load types [5]. Cooling and electricity loads may exhibit stronger synchronous variation during hot seasons, whereas the dominant factors affecting heating demand may change during cold seasons. Calendar attributes such as weekday/weekend status and abrupt meteorological changes can also reshape cross-load relationships. Moreover, the predictive value of information transferred between two energy loads is not necessarily symmetric. For example, the historical electricity load may help forecast the cooling load, whereas the historical cooling load may not benefit electricity-load forecasting to the same extent. The key challenge is therefore not merely to increase the number of input variables, but to determine, for each target task under the current operating state, whether information should be shared, which source task should provide it, and how strongly it should affect the prediction.</w:t>
      </w:r>
    </w:p>
    <w:p>
      <w:pPr>
        <w:pStyle w:val="Para"/>
      </w:pPr>
      <w:r>
        <w:t>Multi-task learning and spatiotemporal attention have recently been used to extract intra-task temporal dependence and inter-task coupling simultaneously; hierarchical multi-task learning is a representative example [6]. Graph-attention multi-task models further aggregate information according to structural relationships among tasks or energy nodes [7]. In parallel, multivariate time-series research has investigated how relationships among variables can be used selectively without discarding the temporal patterns specific to each variable. iTransformer represents the complete history of each variable independently and then learns relationships among these variable representations [8]. LIFT identifies leading variables that anticipate future changes in a target variable and introduces only cross-variable information with predictive value [9]. SOFTS first aggregates information from multiple variables into a global core representation and then redistributes it to individual variables, enabling cross-variable interaction at a relatively low computational cost [10]. These studies demonstrate the predictive value of cross-task information while indicating that neither complete independence nor unrestricted mixing is universally optimal across datasets and operating states.</w:t>
      </w:r>
    </w:p>
    <w:p>
      <w:pPr>
        <w:pStyle w:val="Para"/>
      </w:pPr>
      <w:r>
        <w:t>Recent energy-forecasting studies have begun to address these issues. Dynamic-coupling research analyzes cross-load relationships across long-term trends, periodic variations, and short-term fluctuations, providing motivation for state-conditioned information transfer [4]. Multi-task balancing research uses shared matrices and gradient coordination to handle optimization conflicts among energy tasks [11]. A frequency-enhanced multi-task mixture-of-experts network for small-sample settings further makes negative-transfer mitigation an explicit design objective [12]. Unlike existing approaches that rely on frequency decomposition and multi-expert gating, this study does not introduce frequency decomposition or a mixture-of-experts network. Instead, it uses parameter-controlled temporal encoders and state-conditioned directed task gates for selective information transfer, and directly evaluates task-level transfer gains against a structurally matched single-task model. Accordingly, this study focuses not on re-proposing dynamic relationship modeling or negative-transfer mitigation, but on examining three connected questions within one framework. First, can cross-task sharing intensity and source selection vary in real time with the load, weather, and calendar state of each sample and with the forecast horizon, while allowing different weights in opposite transfer directions? Second, can an improvement in the joint model’s average error conceal performance degradation for individual tasks, seasons, or forecast horizons? Third, can the benefits of dynamic relationship modeling be achieved under controlled parameter and computational costs? General multi-task learning research shows that tasks may face unequal resource allocation and gradient conflicts during joint optimization [13]. Multi-task linear forecasting research, in turn, provides a theoretical reference for analyzing inter-task cooperation and conflict from the perspectives of variable collaboration, task grouping, and gradient balancing [14]. Negative transfer occurs when the joint model’s error for a task is higher than that of the structurally matched single-task model. Reporting only the average error across tasks cannot determine whether each energy task truly benefits from information sharing.</w:t>
      </w:r>
    </w:p>
    <w:p>
      <w:pPr>
        <w:pStyle w:val="Para"/>
      </w:pPr>
      <w:r>
        <w:t>To address these questions, this study develops a lightweight state-conditioned dynamic task-sharing framework. Depthwise-separable temporal convolutional encoders whose receptive fields fully cover the 24-hour history window first extract separate temporal representations for the electricity, cooling, heating, and gas tasks. Weather, calendar, and load-state information is then combined with forecast-horizon embeddings. A two-stage directed task router separately estimates the overall sharing intensity of each target task and the relative allocation across source tasks, thereby decomposing the decision into whether to share, from which task, and to what extent. Source representations are transformed through low-rank directed projections and injected into the target representation through message normalization and controlled residual fusion. When the sharing intensity is zero, the target task retains a strict task-independent prediction path. Task–horizon-specific heads subsequently produce forecasts for the four loads over the next 1–4 hours. The experiments compare architecture-matched single-task models, fixed-sharing multi-task models, the original dynamic-gating model, and the proposed model. Forecast errors and relative transfer gains are evaluated across tasks, seasons, and forecast horizons. Parameter count, theoretical computational complexity, and training and inference time on the same hardware platform are also reported to determine whether the benefits of dynamic sharing justify their computational cost.</w:t>
      </w:r>
    </w:p>
    <w:p>
      <w:pPr>
        <w:pStyle w:val="Para"/>
      </w:pPr>
      <w:r>
        <w:t>The experiments use the publicly available Kitakyushu Energy Station Data. The dataset records hourly energy supply, energy consumption, and weather information from the energy station and building cluster in the Kitakyushu Science and Research Park, Japan, and is publicly archived on Figshare [15]. This study fixes the formal period to 2015–2021 and defines electricity demand, cooling demand, heating demand, and energy-station-side natural-gas consumption as four forecasting tasks. The gas task consists of natural-gas use by the station’s gas engine, fuel cell, absorption chiller/heating units, and gas boiler; it is not interpreted as a single-building end-user gas-meter load. The data paper reports an earthquake-related data gap in March 2011 [15], whereas anomalous load fields in 2014 were identified through the local quality audit of the downloaded data. Therefore, neither period is included in the formal experiments. MMoE-lite is used only as a lightweight external baseline retaining the expert-routing idea; it does not include the Frequency and STIM modules in Shao et al.’s model and is not claimed to reproduce the complete Frequency-STIM-MMoE model.</w:t>
      </w:r>
    </w:p>
    <w:p>
      <w:pPr>
        <w:pStyle w:val="Para"/>
      </w:pPr>
      <w:r>
        <w:t>The main contributions of this study are as follows:</w:t>
      </w:r>
    </w:p>
    <w:p>
      <w:pPr>
        <w:pStyle w:val="ListNumbered"/>
      </w:pPr>
      <w:r>
        <w:t>1. Multi-energy joint forecasting is formulated as a state-conditioned directional task-sharing problem. By comparing the joint model with structurally matched single-task models for each load and calculating relative transfer gains, the evaluation directly determines whether joint training degrades any task and whether the dynamic gate alleviates such degradation.</w:t>
      </w:r>
    </w:p>
    <w:p>
      <w:pPr>
        <w:pStyle w:val="ListNumbered"/>
      </w:pPr>
      <w:r>
        <w:t>2. A shared–task-specific framework is developed by combining full-window lightweight temporal encoders, state and forecast-horizon representations, a two-stage directed router for sharing intensity and source allocation, low-rank message projections, and task–horizon-specific forecasting heads. Cross-energy transfer can therefore vary with the current state and forecast distance, while a strict task-independent path is retained when sharing is switched off.</w:t>
      </w:r>
    </w:p>
    <w:p>
      <w:pPr>
        <w:pStyle w:val="ListNumbered"/>
      </w:pPr>
      <w:r>
        <w:t>3. An evaluation protocol covering average accuracy, task-level negative transfer, stability across seasons and forecast horizons, and computational cost is established to distinguish overall joint-learning gains from individual task benefits and complexity overhead.</w:t>
      </w:r>
    </w:p>
    <w:p>
      <w:pPr>
        <w:pStyle w:val="Head1"/>
      </w:pPr>
      <w:r>
        <w:t>2. RELATED WORK</w:t>
      </w:r>
    </w:p>
    <w:p>
      <w:pPr>
        <w:pStyle w:val="Para"/>
      </w:pPr>
      <w:r>
        <w:t>For multi-energy load forecasting, synthesizing existing reviews and related studies, this study organizes methods according to how cross-task relationships are modeled into four categories: methods based on shared representations and task-specific decoders; methods based on attention or graph structures; methods based on variable or channel dependencies; and methods targeting dynamic sharing and negative-transfer mitigation [1]. These categories trade off information-sharing strength, relationship adaptivity, model complexity, computational efficiency, and task interpretability. The first three categories progressively enhance cross-load information utilization, whereas the fourth additionally considers changes in sharing relationships with operating states and unequal task benefits. The following subsections discuss the basic ideas, representative studies, and limitations of each category.</w:t>
      </w:r>
    </w:p>
    <w:p>
      <w:pPr>
        <w:pStyle w:val="Head2"/>
      </w:pPr>
      <w:r>
        <w:t>2.1 Multi-Energy Load Forecasting Based on Shared Representations and Task-Specific Decoders</w:t>
      </w:r>
    </w:p>
    <w:p>
      <w:pPr>
        <w:pStyle w:val="Para"/>
      </w:pPr>
      <w:r>
        <w:t>The first category formulates multi-energy load forecasting as a multi-task learning problem. Models typically use a shared encoder to extract common patterns among different loads and then use task-specific decoders or forecasting heads to recover the distinctive dynamics of each load. The central assumption is that, although different energy loads have different physical meanings and temporal patterns, their shared representation can still provide complementary information.</w:t>
      </w:r>
    </w:p>
    <w:p>
      <w:pPr>
        <w:pStyle w:val="Para"/>
      </w:pPr>
      <w:r>
        <w:t>Zhang et al. [2] combine neural networks, Gaussian processes, and multi-task learning for small-sample integrated energy systems to alleviate prediction instability caused by limited data. This design can preserve probabilistic modeling while sharing information across tasks, making it suitable for data-limited integrated energy systems. Its limitation is that the sharing relationship among tasks is usually determined by a predefined network structure, so the model is not necessarily able to adjust the information-transfer strength according to the operating state of each sample.</w:t>
      </w:r>
    </w:p>
    <w:p>
      <w:pPr>
        <w:pStyle w:val="Para"/>
      </w:pPr>
      <w:r>
        <w:t>Kim et al. [3] introduce global–local attention and a multiple-decoder structure for user-level integrated energy systems. The global representation captures common patterns among loads, whereas local representations and task-specific decoders preserve load-specific differences. This method improves the balance between shared representations and task specificity, but multiple decoders and multi-layer attention also increase structural complexity, and the average prediction error cannot directly indicate whether each task benefits from joint training.</w:t>
      </w:r>
    </w:p>
    <w:p>
      <w:pPr>
        <w:pStyle w:val="Para"/>
      </w:pPr>
      <w:r>
        <w:t>Overall, shared-representation methods offer advantages in parameter sharing and sample efficiency and therefore form an important foundation for joint multi-energy forecasting. However, fixed shared layers or fixed task partitioning can deliver the same type of information to every sample. When task relationships vary with season, weather, and operating state, such static sharing may continuously transmit irrelevant information and increase the risk of negative transfer.</w:t>
      </w:r>
    </w:p>
    <w:p>
      <w:pPr>
        <w:pStyle w:val="Head2"/>
      </w:pPr>
      <w:r>
        <w:t>2.2 Cross-Task Relationship Modeling Based on Attention and Graph Structures</w:t>
      </w:r>
    </w:p>
    <w:p>
      <w:pPr>
        <w:pStyle w:val="Para"/>
      </w:pPr>
      <w:r>
        <w:t>The second category uses attention weights or graph structures to represent relationships among energy tasks explicitly. Compared with simple input concatenation, these models can weight and aggregate information according to associations among tasks, time steps, or spatial nodes. The focus is no longer only on sharing a single unified representation, but also on learning which tasks are related and how strong those relationships are.</w:t>
      </w:r>
    </w:p>
    <w:p>
      <w:pPr>
        <w:pStyle w:val="Para"/>
      </w:pPr>
      <w:r>
        <w:t>Song et al. [6] propose a multi-energy load forecasting method that combines hierarchical multi-task learning with spatiotemporal attention. The hierarchical sharing structure represents task relationships at different levels, while spatiotemporal attention captures load variation across temporal and spatial dimensions. This method strengthens cross-load relationship representation, but the hierarchical structure and attention modules introduce additional parameters, and attention weights are mainly used for feature aggregation rather than being directly interpretable as source-to-target information-transfer proportions.</w:t>
      </w:r>
    </w:p>
    <w:p>
      <w:pPr>
        <w:pStyle w:val="Para"/>
      </w:pPr>
      <w:r>
        <w:t>Zeng et al. [7] use a graph-attention multi-task learning model in which different loads or energy tasks are represented as graph nodes and related task information is aggregated according to neighborhood relationships. The graph structure helps express the topology among tasks, and graph attention assigns different weights to different neighbors. Its limitation is that node relationships or the adjacency structure often need to be specified in advance; the model may therefore mistake a stable topology for a dynamic relationship that holds in every season and operating state.</w:t>
      </w:r>
    </w:p>
    <w:p>
      <w:pPr>
        <w:pStyle w:val="Para"/>
      </w:pPr>
      <w:r>
        <w:t>Attention and graph models provide greater relationship-selection capability than fixed sharing structures, but they still face two issues. First, attention weights and graph-edge weights are not fully equivalent to transfer gains in load forecasting; a larger weight does not necessarily mean that the target-task error will decrease. Second, multi-head attention, graph message passing, and complex topologies increase training and tuning costs. Therefore, relationship weights alone are insufficient to determine whether joint learning produces task-level positive or negative transfer.</w:t>
      </w:r>
    </w:p>
    <w:p>
      <w:pPr>
        <w:pStyle w:val="Head2"/>
      </w:pPr>
      <w:r>
        <w:t>2.3 Multivariate Time-Series Modeling Based on Variable or Channel Dependencies</w:t>
      </w:r>
    </w:p>
    <w:p>
      <w:pPr>
        <w:pStyle w:val="Para"/>
      </w:pPr>
      <w:r>
        <w:t>The third category originates from multivariate time-series forecasting and focuses on channel dependence among variables and on the trade-off between channel independence and channel mixing. These methods typically preserve the historical pattern of each variable and then perform selective cross-variable interaction at the level of variable representations. For multi-energy load forecasting, electricity, cooling, heating, and gas loads can be regarded as variables or tasks with different physical meanings; these methods therefore provide general structural references for cross-energy information modeling.</w:t>
      </w:r>
    </w:p>
    <w:p>
      <w:pPr>
        <w:pStyle w:val="Para"/>
      </w:pPr>
      <w:r>
        <w:t>The iTransformer proposed by Liu et al. [8] treats the complete historical sequence of each variable as an independent representation and learns cross-variable relationships among these representations. This inverted modeling strategy changes the conventional time-step-centered organization of attention and helps express variable dependence in multivariate sequences, but its variable interaction is not specifically designed for directional energy-task relationships or task-level transfer gains.</w:t>
      </w:r>
    </w:p>
    <w:p>
      <w:pPr>
        <w:pStyle w:val="Para"/>
      </w:pPr>
      <w:r>
        <w:t>LIFT, proposed by Zhao and Shen [9], identifies leading variables that can anticipate future changes in a target variable and introduces only cross-variable information with predictive value. This idea emphasizes selective use of variable relationships and can reduce interference caused by irrelevant channel mixing. However, leading-indicator relationships mainly describe predictive precedence and are not equivalent to deciding the information-transfer strength in real time from weather, calendar, and current-load states.</w:t>
      </w:r>
    </w:p>
    <w:p>
      <w:pPr>
        <w:pStyle w:val="Para"/>
      </w:pPr>
      <w:r>
        <w:t>SOFTS, proposed by Han et al. [10], aggregates information from multiple variables into a global series-core representation and then transfers the core to each variable, thereby enabling cross-variable interaction at a relatively low computational cost. This centralized series core reduces the computational complexity of variable mixing, but it may weaken directional differences between a specific source task and a specific target task. For the negative-transfer problem considered here, obtaining a good overall error does not prove that every energy task benefits from global interaction.</w:t>
      </w:r>
    </w:p>
    <w:p>
      <w:pPr>
        <w:pStyle w:val="Para"/>
      </w:pPr>
      <w:r>
        <w:t>Overall, variable- or channel-dependence methods provide important ideas for efficient cross-variable interaction, but they mainly target general multivariate sequences and usually do not simultaneously incorporate energy-task states, exogenous variables, source–target direction, and a single-task reference. The idea of channel dependence therefore needs to be further transformed into a state-conditioned sharing mechanism suitable for multi-energy tasks.</w:t>
      </w:r>
    </w:p>
    <w:p>
      <w:pPr>
        <w:pStyle w:val="Head2"/>
      </w:pPr>
      <w:r>
        <w:t>2.4 Multi-Task Learning for Dynamic Sharing and Negative-Transfer Mitigation</w:t>
      </w:r>
    </w:p>
    <w:p>
      <w:pPr>
        <w:pStyle w:val="Para"/>
      </w:pPr>
      <w:r>
        <w:t>The fourth category directly addresses changes in task relationships over time or with operating states, as well as the performance degradation that joint learning may cause for some tasks. Unlike fixed sharing or unconditional mixing, these methods introduce dynamic relationships, task balancing, expert selection, or resource allocation mechanisms into the model so that different tasks receive more appropriate information and optimization resources.</w:t>
      </w:r>
    </w:p>
    <w:p>
      <w:pPr>
        <w:pStyle w:val="Para"/>
      </w:pPr>
      <w:r>
        <w:t>Gu et al. [4] model dynamic coupling relationships among different loads through structured dynamic latent variables and a broad learning system, showing that cross-load relationships should not be treated simply as fixed correlations. Huang et al. [5] further consider meteorological variations and jointly use multi-task and single-task learning for multi-energy load forecasting, emphasizing that external conditions can change information associations among different loads. These studies provide evidence for state-conditioned relationship modeling, but dynamic coupling or joint forecasting itself is not automatically equivalent to negative-transfer mitigation for every task; task-wise validation against a unified single-task reference is still needed.</w:t>
      </w:r>
    </w:p>
    <w:p>
      <w:pPr>
        <w:pStyle w:val="Para"/>
      </w:pPr>
      <w:r>
        <w:t>Wang et al. [11] combine graph neural networks with a multi-task balancing mechanism to coordinate multiple load-forecasting tasks in integrated energy systems. Ban and Ji [13] discuss whether resources obtained by different tasks during joint optimization are balanced from the perspective of fair resource allocation in multi-task learning and show that task benefits may differ. Nochumsohn et al. [14] study multi-task cooperation from the perspective of linear multivariate forecasting and provide a concise theoretical reference for analyzing task differences in joint modeling. Together, these studies show that the overall average performance of a multi-task model cannot replace task-wise performance analysis.</w:t>
      </w:r>
    </w:p>
    <w:p>
      <w:pPr>
        <w:pStyle w:val="Para"/>
      </w:pPr>
      <w:r>
        <w:t>Shao et al. [12] propose a frequency-enhanced multi-task mixture-of-experts network for small-sample settings. The method improves multi-energy load forecasting through frequency features, shared representations, and expert-selection mechanisms, and makes negative-transfer mitigation a design objective. This method and the present study both focus on selective sharing among multi-energy tasks and can therefore serve as an important external baseline or comparison direction. Their research emphases nevertheless differ: Shao et al. rely on frequency enhancement and a mixture-of-experts structure, whereas this study uses parameter-controlled temporal and state encoders with a dynamic directed task gate and calculates task-level transfer gains using structurally matched single-task models.</w:t>
      </w:r>
    </w:p>
    <w:p>
      <w:pPr>
        <w:pStyle w:val="Para"/>
      </w:pPr>
      <w:r>
        <w:t>These methods are closer to real operating processes than fixed sharing structures, but they introduce new evaluation requirements. Whether a model dynamically adjusts sharing relationships must be diagnosed through changes in gates or relationship weights across states. Whether a model mitigates negative transfer requires comparing the joint model with a structurally matched single-task model for every task, season, and forecast horizon, rather than reporting only an average metric over all tasks.</w:t>
      </w:r>
    </w:p>
    <w:p>
      <w:pPr>
        <w:pStyle w:val="Head2"/>
      </w:pPr>
      <w:r>
        <w:t>2.5 Summary: Research Trends and Positioning of This Study</w:t>
      </w:r>
    </w:p>
    <w:p>
      <w:pPr>
        <w:pStyle w:val="Para"/>
      </w:pPr>
      <w:r>
        <w:t>The four categories reflect the progressive evolution of cross-task modeling in multi-energy load forecasting. Shared representations and task-specific decoders have simple structures and substantial parameter sharing, but they usually depend on predefined sharing schemes. Attention and graph models can express task relationships explicitly, yet they may be limited by fixed topologies, complex modules, and high computational costs. Variable- or channel-dependence methods emphasize selective cross-variable interaction and computational efficiency, but they have not fully incorporated the physical differences among energy tasks, exogenous states, and transfer direction. Dynamic sharing and negative-transfer mitigation methods further improve relationship adaptivity, but existing studies often bind dynamic relationship modeling, frequency decomposition, or expert selection to relatively complex model structures, and unified evaluation of task-level transfer gains remains insufficient.</w:t>
      </w:r>
    </w:p>
    <w:p>
      <w:pPr>
        <w:pStyle w:val="Para"/>
      </w:pPr>
      <w:r>
        <w:t>This study denotes the proposed framework as Scheme2R and follows this trend to construct a lightweight state-conditioned dynamic task-sharing framework. Four structurally identical but parameter-independent lightweight temporal encoders separately preserve the distinctive temporal patterns of electricity, cooling, heating, and gas loads. A state encoder extracts weather and calendar states, while task encoders provide current load-state representations. Forecast-horizon embeddings are then combined with these representations, and a two-stage directed router separately computes the overall sharing intensity and source-task allocation. Gated source information enters the target representation through direction-specific projections and target-task residual fusion, and task–horizon-specific forecasting heads finally output multi-step load forecasts.</w:t>
      </w:r>
    </w:p>
    <w:p>
      <w:pPr>
        <w:pStyle w:val="Para"/>
      </w:pPr>
      <w:r>
        <w:t>The experiments simultaneously include structurally matched single-task models, a hard-sharing model, a static-gating model, a dynamic symmetric-gating model, the Legacy Dynamic Directed Gate, and the proposed two-stage state-conditioned directed-routing model. All models are compared under the same data split, standardization method, forecasting window, and training protocol.</w:t>
      </w:r>
    </w:p>
    <w:p>
      <w:pPr>
        <w:pStyle w:val="Head1"/>
      </w:pPr>
      <w:r>
        <w:t>3. DETAILED NETWORK</w:t>
      </w:r>
    </w:p>
    <w:p>
      <w:pPr>
        <w:pStyle w:val="Para"/>
      </w:pPr>
      <w:r>
        <w:t>This section gives the mathematical definition and forward computation of the Scheme2R main model. To avoid confusion with the external MMoE-lite baseline, ‘the proposed model’ below always refers to the current four-task, state-conditioned, forecast-horizon-conditioned directed task-sharing network.</w:t>
      </w:r>
    </w:p>
    <w:p>
      <w:pPr>
        <w:pStyle w:val="Head2"/>
      </w:pPr>
      <w:r>
        <w:t>3.1 Problem Statement / Math Definition</w:t>
      </w:r>
    </w:p>
    <w:p>
      <w:pPr>
        <w:pStyle w:val="Para"/>
      </w:pPr>
      <w:r>
        <w:t>Consider the multi-energy load forecasting problem in the Kitakyushu Energy Station dataset. Electricity, cooling, heating, and gas loads are treated as four related forecasting tasks with different dynamic patterns. The task set is denoted by TaskSet = {e, c, h, g}, where e, c, h, and g represent electricity, cooling, heating, and gas, respectively. The mathematical set does not impose an order; to ensure reproducibility of the data pipeline, loss computation, and result export, the code fixes the task order as [electricity, cooling, heating, gas].</w:t>
      </w:r>
    </w:p>
    <w:p>
      <w:pPr>
        <w:pStyle w:val="Para"/>
      </w:pPr>
      <w:r>
        <w:t xml:space="preserve">At time t, the model uses the preceding 24 hours of loads and exogenous variables to forecast the four loads over the next 4 hours. Let M = 4 denote the number of tasks, L = 24 the history-window length, H = 4 the forecast horizon, and G the dimension of the historical exogenous variables. The load sequence of task i within the history window is denoted by </w:t>
      </w:r>
      <m:oMath>
        <m:sSubSup>
          <m:e>
            <m:r>
              <m:t>x</m:t>
            </m:r>
          </m:e>
          <m:sub>
            <m:r>
              <m:t>t-L+1:t</m:t>
            </m:r>
          </m:sub>
          <m:sup>
            <m:r>
              <m:t>(i)</m:t>
            </m:r>
          </m:sup>
        </m:sSubSup>
      </m:oMath>
      <w:r>
        <w:t>and the load inputs for all tasks and exogenous inputs are written as follows:</w:t>
      </w:r>
    </w:p>
    <w:p>
      <w:pPr>
        <w:pStyle w:val="Para"/>
      </w:pPr>
      <m:oMathPara>
        <m:oMath>
          <m:sSub>
            <m:e>
              <m:r>
                <m:t>X</m:t>
              </m:r>
            </m:e>
            <m:sub>
              <m:r>
                <m:t>t</m:t>
              </m:r>
            </m:sub>
          </m:sSub>
          <m:r>
            <m:t> </m:t>
          </m:r>
          <m:r>
            <m:t>∈</m:t>
          </m:r>
          <m:r>
            <m:t> </m:t>
          </m:r>
          <m:sSup>
            <m:e>
              <m:r>
                <m:t>R</m:t>
              </m:r>
            </m:e>
            <m:sup>
              <m:r>
                <m:t>L </m:t>
              </m:r>
              <m:r>
                <m:t>×</m:t>
              </m:r>
              <m:r>
                <m:t> M</m:t>
              </m:r>
            </m:sup>
          </m:sSup>
          <m:sSubSup>
            <m:e>
              <m:r>
                <m:t> = [x</m:t>
              </m:r>
            </m:e>
            <m:sub>
              <m:r>
                <m:t>t-L+1:t</m:t>
              </m:r>
            </m:sub>
            <m:sup>
              <m:r>
                <m:t>e</m:t>
              </m:r>
            </m:sup>
          </m:sSubSup>
          <m:sSubSup>
            <m:e>
              <m:r>
                <m:t>, x</m:t>
              </m:r>
            </m:e>
            <m:sub>
              <m:r>
                <m:t>t-L+1:t</m:t>
              </m:r>
            </m:sub>
            <m:sup>
              <m:r>
                <m:t>c</m:t>
              </m:r>
            </m:sup>
          </m:sSubSup>
          <m:sSubSup>
            <m:e>
              <m:r>
                <m:t>, x</m:t>
              </m:r>
            </m:e>
            <m:sub>
              <m:r>
                <m:t>t-L+1:t</m:t>
              </m:r>
            </m:sub>
            <m:sup>
              <m:r>
                <m:t>h</m:t>
              </m:r>
            </m:sup>
          </m:sSubSup>
          <m:sSubSup>
            <m:e>
              <m:r>
                <m:t>, x</m:t>
              </m:r>
            </m:e>
            <m:sub>
              <m:r>
                <m:t>t-L+1:t</m:t>
              </m:r>
            </m:sub>
            <m:sup>
              <m:r>
                <m:t>g</m:t>
              </m:r>
            </m:sup>
          </m:sSubSup>
          <m:r>
            <m:t>]</m:t>
          </m:r>
        </m:oMath>
      </m:oMathPara>
    </w:p>
    <w:p>
      <w:pPr>
        <w:pStyle w:val="Para"/>
      </w:pPr>
      <m:oMathPara>
        <m:oMath>
          <m:sSub>
            <m:e>
              <m:r>
                <m:t>R</m:t>
              </m:r>
            </m:e>
            <m:sub>
              <m:r>
                <m:t>t</m:t>
              </m:r>
            </m:sub>
          </m:sSub>
          <m:r>
            <m:t> </m:t>
          </m:r>
          <m:r>
            <m:t>∈</m:t>
          </m:r>
          <m:r>
            <m:t> </m:t>
          </m:r>
          <m:sSup>
            <m:e>
              <m:r>
                <m:t>R</m:t>
              </m:r>
            </m:e>
            <m:sup>
              <m:r>
                <m:t>L </m:t>
              </m:r>
              <m:r>
                <m:t>×</m:t>
              </m:r>
              <m:r>
                <m:t> G</m:t>
              </m:r>
            </m:sup>
          </m:sSup>
          <m:sSub>
            <m:e>
              <m:r>
                <m:t> = [r</m:t>
              </m:r>
            </m:e>
            <m:sub>
              <m:r>
                <m:t>t-L+1</m:t>
              </m:r>
            </m:sub>
          </m:sSub>
          <m:r>
            <m:t>, </m:t>
          </m:r>
          <m:r>
            <m:t>…</m:t>
          </m:r>
          <m:sSub>
            <m:e>
              <m:r>
                <m:t>, r</m:t>
              </m:r>
            </m:e>
            <m:sub>
              <m:r>
                <m:t>t</m:t>
              </m:r>
            </m:sub>
          </m:sSub>
          <m:r>
            <m:t>]</m:t>
          </m:r>
        </m:oMath>
      </m:oMathPara>
    </w:p>
    <w:p>
      <w:pPr>
        <w:pStyle w:val="Para"/>
      </w:pPr>
      <w:r>
        <w:t>R_t contains only historical information available at the forecast time, such as temperature, humidity, solar irradiance, wind speed, wind direction, and calendar encodings for the hour, weekday, and month. The model does not use the true weather values at future timestamps; therefore, information unavailable at prediction time is not leaked into the input. The corresponding forecasting target is:</w:t>
      </w:r>
    </w:p>
    <w:p>
      <w:pPr>
        <w:pStyle w:val="Para"/>
      </w:pPr>
      <m:oMathPara>
        <m:oMath>
          <m:r>
            <m:t>R = </m:t>
          </m:r>
          <m:r>
            <m:t>{</m:t>
          </m:r>
          <m:r>
            <m:t>temperature</m:t>
          </m:r>
          <m:r>
            <m:t>, </m:t>
          </m:r>
          <m:r>
            <m:t>humidity</m:t>
          </m:r>
          <m:r>
            <m:t>, </m:t>
          </m:r>
          <m:r>
            <m:t>solar</m:t>
          </m:r>
          <m:r>
            <m:t> </m:t>
          </m:r>
          <m:r>
            <m:t>irradiance</m:t>
          </m:r>
          <m:r>
            <m:t>, </m:t>
          </m:r>
          <m:r>
            <m:t>wind</m:t>
          </m:r>
          <m:r>
            <m:t> </m:t>
          </m:r>
          <m:r>
            <m:t>speed</m:t>
          </m:r>
          <m:r>
            <m:t>, </m:t>
          </m:r>
          <m:r>
            <m:t>wind</m:t>
          </m:r>
          <m:r>
            <m:t> </m:t>
          </m:r>
          <m:r>
            <m:t>direction</m:t>
          </m:r>
          <m:r>
            <m:t>, </m:t>
          </m:r>
          <m:r>
            <m:t>calendar</m:t>
          </m:r>
          <m:r>
            <m:t> </m:t>
          </m:r>
          <m:r>
            <m:t>encodings</m:t>
          </m:r>
          <m:r>
            <m:t>}</m:t>
          </m:r>
        </m:oMath>
      </m:oMathPara>
    </w:p>
    <w:p>
      <w:pPr>
        <w:pStyle w:val="Para"/>
      </w:pPr>
      <w:r>
        <w:t>Here, gas is defined according to the gas-side fields of the Kitakyushu Energy Station dataset as gas demand/consumption within the energy-station system boundary, rather than as an undefined residential gas-meter reading. This boundary definition keeps the gas task within the same energy-station load-forecasting problem as the electricity, cooling, and heating tasks.</w:t>
      </w:r>
    </w:p>
    <w:p>
      <w:pPr>
        <w:pStyle w:val="Para"/>
      </w:pPr>
      <m:oMathPara>
        <m:oMath>
          <m:sSub>
            <m:e>
              <m:r>
                <m:t>Y</m:t>
              </m:r>
            </m:e>
            <m:sub>
              <m:r>
                <m:t>t</m:t>
              </m:r>
            </m:sub>
          </m:sSub>
          <m:r>
            <m:t> </m:t>
          </m:r>
          <m:r>
            <m:t>∈</m:t>
          </m:r>
          <m:r>
            <m:t> </m:t>
          </m:r>
          <m:sSup>
            <m:e>
              <m:r>
                <m:t>R</m:t>
              </m:r>
            </m:e>
            <m:sup>
              <m:r>
                <m:t>H </m:t>
              </m:r>
              <m:r>
                <m:t>×</m:t>
              </m:r>
              <m:r>
                <m:t> M</m:t>
              </m:r>
            </m:sup>
          </m:sSup>
          <m:sSubSup>
            <m:e>
              <m:r>
                <m:t> = [y</m:t>
              </m:r>
            </m:e>
            <m:sub>
              <m:r>
                <m:t>t+1:t+H</m:t>
              </m:r>
            </m:sub>
            <m:sup>
              <m:r>
                <m:t>e</m:t>
              </m:r>
            </m:sup>
          </m:sSubSup>
          <m:sSubSup>
            <m:e>
              <m:r>
                <m:t>, y</m:t>
              </m:r>
            </m:e>
            <m:sub>
              <m:r>
                <m:t>t+1:t+H</m:t>
              </m:r>
            </m:sub>
            <m:sup>
              <m:r>
                <m:t>c</m:t>
              </m:r>
            </m:sup>
          </m:sSubSup>
          <m:sSubSup>
            <m:e>
              <m:r>
                <m:t>, y</m:t>
              </m:r>
            </m:e>
            <m:sub>
              <m:r>
                <m:t>t+1:t+H</m:t>
              </m:r>
            </m:sub>
            <m:sup>
              <m:r>
                <m:t>h</m:t>
              </m:r>
            </m:sup>
          </m:sSubSup>
          <m:sSubSup>
            <m:e>
              <m:r>
                <m:t>, y</m:t>
              </m:r>
            </m:e>
            <m:sub>
              <m:r>
                <m:t>t+1:t+H</m:t>
              </m:r>
            </m:sub>
            <m:sup>
              <m:r>
                <m:t>g</m:t>
              </m:r>
            </m:sup>
          </m:sSubSup>
          <m:r>
            <m:t>]</m:t>
          </m:r>
        </m:oMath>
      </m:oMathPara>
    </w:p>
    <w:p>
      <w:pPr>
        <w:pStyle w:val="Para"/>
      </w:pPr>
      <w:r>
        <w:t>The model learns a mapping f_theta parameterized by theta that transforms historical loads and historical exogenous variables into future multi-task forecasts:</w:t>
      </w:r>
    </w:p>
    <w:p>
      <w:pPr>
        <w:pStyle w:val="Para"/>
      </w:pPr>
      <m:oMathPara>
        <m:oMath>
          <m:sSub>
            <m:e>
              <m:acc>
                <m:accPr>
                  <m:chr m:val="^"/>
                </m:accPr>
                <m:e>
                  <m:r>
                    <m:t>Y</m:t>
                  </m:r>
                </m:e>
              </m:acc>
            </m:e>
            <m:sub>
              <m:r>
                <m:t>t</m:t>
              </m:r>
            </m:sub>
          </m:sSub>
          <m:sSub>
            <m:e>
              <m:r>
                <m:t> = f</m:t>
              </m:r>
            </m:e>
            <m:sub>
              <m:r>
                <m:t>θ</m:t>
              </m:r>
            </m:sub>
          </m:sSub>
          <m:sSub>
            <m:e>
              <m:r>
                <m:t>(X</m:t>
              </m:r>
            </m:e>
            <m:sub>
              <m:r>
                <m:t>t</m:t>
              </m:r>
            </m:sub>
          </m:sSub>
          <m:sSub>
            <m:e>
              <m:r>
                <m:t>, R</m:t>
              </m:r>
            </m:e>
            <m:sub>
              <m:r>
                <m:t>t</m:t>
              </m:r>
            </m:sub>
          </m:sSub>
          <m:r>
            <m:t>) </m:t>
          </m:r>
          <m:r>
            <m:t>∈</m:t>
          </m:r>
          <m:r>
            <m:t> </m:t>
          </m:r>
          <m:sSup>
            <m:e>
              <m:r>
                <m:t>R</m:t>
              </m:r>
            </m:e>
            <m:sup>
              <m:r>
                <m:t>H </m:t>
              </m:r>
              <m:r>
                <m:t>×</m:t>
              </m:r>
              <m:r>
                <m:t> M</m:t>
              </m:r>
            </m:sup>
          </m:sSup>
          <m:r>
            <m:t> = </m:t>
          </m:r>
          <m:sSup>
            <m:e>
              <m:r>
                <m:t>R</m:t>
              </m:r>
            </m:e>
            <m:sup>
              <m:r>
                <m:t>4 </m:t>
              </m:r>
              <m:r>
                <m:t>×</m:t>
              </m:r>
              <m:r>
                <m:t> 4</m:t>
              </m:r>
            </m:sup>
          </m:sSup>
        </m:oMath>
      </m:oMathPara>
    </w:p>
    <w:tbl>
      <w:tblPr>
        <w:tblStyle w:val="af1"/>
        <w:tblW w:type="auto" w:w="0"/>
        <w:tblLayout w:type="fixed"/>
        <w:tblLook w:firstColumn="1" w:firstRow="1" w:lastColumn="0" w:lastRow="0" w:noHBand="0" w:noVBand="1" w:val="04A0"/>
      </w:tblPr>
      <w:tblGrid>
        <w:gridCol w:w="4758"/>
        <w:gridCol w:w="4758"/>
      </w:tblGrid>
      <w:tr>
        <w:tc>
          <w:tcPr>
            <w:tcW w:type="dxa" w:w="1800"/>
          </w:tcPr>
          <w:p>
            <w:r>
              <w:rPr>
                <w:rFonts w:ascii="Arial Unicode MS" w:hAnsi="Arial Unicode MS" w:eastAsia="Arial Unicode MS"/>
                <w:b/>
                <w:sz w:val="18"/>
              </w:rPr>
              <w:t>Symbol</w:t>
            </w:r>
          </w:p>
        </w:tc>
        <w:tc>
          <w:tcPr>
            <w:tcW w:type="dxa" w:w="7560"/>
          </w:tcPr>
          <w:p>
            <w:r>
              <w:rPr>
                <w:rFonts w:ascii="Arial Unicode MS" w:hAnsi="Arial Unicode MS" w:eastAsia="Arial Unicode MS"/>
                <w:b/>
                <w:sz w:val="18"/>
              </w:rPr>
              <w:t>Meaning</w:t>
            </w:r>
          </w:p>
        </w:tc>
      </w:tr>
      <w:tr>
        <w:tc>
          <w:tcPr>
            <w:tcW w:type="dxa" w:w="1800"/>
          </w:tcPr>
          <w:p>
            <w:r>
              <w:rPr>
                <w:rFonts w:ascii="Arial Unicode MS" w:hAnsi="Arial Unicode MS" w:eastAsia="Arial Unicode MS"/>
                <w:sz w:val="18"/>
              </w:rPr>
              <w:t>M = 4</w:t>
            </w:r>
          </w:p>
        </w:tc>
        <w:tc>
          <w:tcPr>
            <w:tcW w:type="dxa" w:w="7560"/>
          </w:tcPr>
          <w:p>
            <w:r>
              <w:rPr>
                <w:rFonts w:ascii="Arial Unicode MS" w:hAnsi="Arial Unicode MS" w:eastAsia="Arial Unicode MS"/>
                <w:sz w:val="18"/>
              </w:rPr>
              <w:t>Four load tasks: electricity, cooling, heating, and gas.</w:t>
            </w:r>
          </w:p>
        </w:tc>
      </w:tr>
      <w:tr>
        <w:tc>
          <w:tcPr>
            <w:tcW w:type="dxa" w:w="1800"/>
          </w:tcPr>
          <w:p>
            <w:r>
              <w:rPr>
                <w:rFonts w:ascii="Arial Unicode MS" w:hAnsi="Arial Unicode MS" w:eastAsia="Arial Unicode MS"/>
                <w:sz w:val="18"/>
              </w:rPr>
              <w:t>L = 24</w:t>
            </w:r>
          </w:p>
        </w:tc>
        <w:tc>
          <w:tcPr>
            <w:tcW w:type="dxa" w:w="7560"/>
          </w:tcPr>
          <w:p>
            <w:r>
              <w:rPr>
                <w:rFonts w:ascii="Arial Unicode MS" w:hAnsi="Arial Unicode MS" w:eastAsia="Arial Unicode MS"/>
                <w:sz w:val="18"/>
              </w:rPr>
              <w:t>Input-window length, representing 24 consecutive historical hours.</w:t>
            </w:r>
          </w:p>
        </w:tc>
      </w:tr>
      <w:tr>
        <w:tc>
          <w:tcPr>
            <w:tcW w:type="dxa" w:w="1800"/>
          </w:tcPr>
          <w:p>
            <w:r>
              <w:rPr>
                <w:rFonts w:ascii="Arial Unicode MS" w:hAnsi="Arial Unicode MS" w:eastAsia="Arial Unicode MS"/>
                <w:sz w:val="18"/>
              </w:rPr>
              <w:t>H = 4</w:t>
            </w:r>
          </w:p>
        </w:tc>
        <w:tc>
          <w:tcPr>
            <w:tcW w:type="dxa" w:w="7560"/>
          </w:tcPr>
          <w:p>
            <w:r>
              <w:rPr>
                <w:rFonts w:ascii="Arial Unicode MS" w:hAnsi="Arial Unicode MS" w:eastAsia="Arial Unicode MS"/>
                <w:sz w:val="18"/>
              </w:rPr>
              <w:t>Forecast horizon, representing the next four consecutive hours.</w:t>
            </w:r>
          </w:p>
        </w:tc>
      </w:tr>
      <w:tr>
        <w:tc>
          <w:tcPr>
            <w:tcW w:type="dxa" w:w="1800"/>
          </w:tcPr>
          <w:p>
            <w:r>
              <w:rPr>
                <w:rFonts w:ascii="Arial Unicode MS" w:hAnsi="Arial Unicode MS" w:eastAsia="Arial Unicode MS"/>
                <w:sz w:val="18"/>
              </w:rPr>
              <w:t>X_t</w:t>
            </w:r>
          </w:p>
        </w:tc>
        <w:tc>
          <w:tcPr>
            <w:tcW w:type="dxa" w:w="7560"/>
          </w:tcPr>
          <w:p>
            <w:r>
              <w:rPr>
                <w:rFonts w:ascii="Arial Unicode MS" w:hAnsi="Arial Unicode MS" w:eastAsia="Arial Unicode MS"/>
                <w:sz w:val="18"/>
              </w:rPr>
              <w:t>Historical multi-task load window with shape [24, 4].</w:t>
            </w:r>
          </w:p>
        </w:tc>
      </w:tr>
      <w:tr>
        <w:tc>
          <w:tcPr>
            <w:tcW w:type="dxa" w:w="1800"/>
          </w:tcPr>
          <w:p>
            <w:r>
              <w:rPr>
                <w:rFonts w:ascii="Arial Unicode MS" w:hAnsi="Arial Unicode MS" w:eastAsia="Arial Unicode MS"/>
                <w:sz w:val="18"/>
              </w:rPr>
              <w:t>R_t</w:t>
            </w:r>
          </w:p>
        </w:tc>
        <w:tc>
          <w:tcPr>
            <w:tcW w:type="dxa" w:w="7560"/>
          </w:tcPr>
          <w:p>
            <w:r>
              <w:rPr>
                <w:rFonts w:ascii="Arial Unicode MS" w:hAnsi="Arial Unicode MS" w:eastAsia="Arial Unicode MS"/>
                <w:sz w:val="18"/>
              </w:rPr>
              <w:t>Historical exogenous-variable window with shape [24, G].</w:t>
            </w:r>
          </w:p>
        </w:tc>
      </w:tr>
      <w:tr>
        <w:tc>
          <w:tcPr>
            <w:tcW w:type="dxa" w:w="1800"/>
          </w:tcPr>
          <w:p>
            <w:r>
              <w:rPr>
                <w:rFonts w:ascii="Arial Unicode MS" w:hAnsi="Arial Unicode MS" w:eastAsia="Arial Unicode MS"/>
                <w:sz w:val="18"/>
              </w:rPr>
              <w:t>Y_t, Yhat_t</w:t>
            </w:r>
          </w:p>
        </w:tc>
        <w:tc>
          <w:tcPr>
            <w:tcW w:type="dxa" w:w="7560"/>
          </w:tcPr>
          <w:p>
            <w:r>
              <w:rPr>
                <w:rFonts w:ascii="Arial Unicode MS" w:hAnsi="Arial Unicode MS" w:eastAsia="Arial Unicode MS"/>
                <w:sz w:val="18"/>
              </w:rPr>
              <w:t>Ground-truth and predicted values with shape [4, 4]; rows are forecast horizons and columns are tasks.</w:t>
            </w:r>
          </w:p>
        </w:tc>
      </w:tr>
    </w:tbl>
    <w:p>
      <w:pPr>
        <w:pStyle w:val="Para"/>
      </w:pPr>
    </w:p>
    <w:p>
      <w:pPr>
        <w:pStyle w:val="Para"/>
      </w:pPr>
      <w:r>
        <w:t>During training, the inputs and targets are standardized using statistics computed from the training set, and model outputs are inverse-standardized before physical-unit metrics are calculated. Given the training sample set D_train, the parameters are optimized using element-wise Smooth L1 loss:</w:t>
      </w:r>
    </w:p>
    <w:p>
      <w:pPr>
        <w:pStyle w:val="Para"/>
      </w:pPr>
      <m:oMathPara>
        <m:oMath>
          <m:sSub>
            <m:e>
              <m:r>
                <m:t>min</m:t>
              </m:r>
            </m:e>
            <m:sub>
              <m:r>
                <m:t>θ</m:t>
              </m:r>
            </m:sub>
          </m:sSub>
          <m:r>
            <m:t>L</m:t>
          </m:r>
          <m:r>
            <m:t>(</m:t>
          </m:r>
          <m:r>
            <m:t>θ</m:t>
          </m:r>
          <m:r>
            <m:t>) = </m:t>
          </m:r>
          <m:f>
            <m:fPr>
              <m:type m:val="bar"/>
            </m:fPr>
            <m:num>
              <m:r>
                <m:t>1</m:t>
              </m:r>
            </m:num>
            <m:den>
              <m:r>
                <m:t>|</m:t>
              </m:r>
              <m:sSub>
                <m:e>
                  <m:r>
                    <m:t>D</m:t>
                  </m:r>
                </m:e>
                <m:sub>
                  <m:r>
                    <m:t>train</m:t>
                  </m:r>
                </m:sub>
              </m:sSub>
              <m:r>
                <m:t>| H M</m:t>
              </m:r>
            </m:den>
          </m:f>
          <m:r>
            <m:t> </m:t>
          </m:r>
          <m:sSub>
            <m:e>
              <m:r>
                <m:t>∑</m:t>
              </m:r>
            </m:e>
            <m:sub>
              <m:r>
                <m:t>t </m:t>
              </m:r>
              <m:r>
                <m:t>∈</m:t>
              </m:r>
              <m:r>
                <m:t> </m:t>
              </m:r>
              <m:sSub>
                <m:e>
                  <m:r>
                    <m:t>D</m:t>
                  </m:r>
                </m:e>
                <m:sub>
                  <m:r>
                    <m:t>train</m:t>
                  </m:r>
                </m:sub>
              </m:sSub>
            </m:sub>
          </m:sSub>
          <m:r>
            <m:t> </m:t>
          </m:r>
          <m:sSubSup>
            <m:e>
              <m:r>
                <m:t>∑</m:t>
              </m:r>
            </m:e>
            <m:sub>
              <m:r>
                <m:t>τ</m:t>
              </m:r>
              <m:r>
                <m:t>=1</m:t>
              </m:r>
            </m:sub>
            <m:sup>
              <m:r>
                <m:t>H</m:t>
              </m:r>
            </m:sup>
          </m:sSubSup>
          <m:r>
            <m:t> </m:t>
          </m:r>
          <m:sSub>
            <m:e>
              <m:r>
                <m:t>∑</m:t>
              </m:r>
            </m:e>
            <m:sub>
              <m:r>
                <m:t>i </m:t>
              </m:r>
              <m:r>
                <m:t>∈</m:t>
              </m:r>
              <m:r>
                <m:t> </m:t>
              </m:r>
              <m:r>
                <m:t>T</m:t>
              </m:r>
            </m:sub>
          </m:sSub>
          <m:r>
            <m:t> </m:t>
          </m:r>
          <m:r>
            <m:t>SmoothL1</m:t>
          </m:r>
          <m:r>
            <m:t>(</m:t>
          </m:r>
          <m:sSub>
            <m:e>
              <m:acc>
                <m:accPr>
                  <m:chr m:val="^"/>
                </m:accPr>
                <m:e>
                  <m:r>
                    <m:t>y</m:t>
                  </m:r>
                </m:e>
              </m:acc>
            </m:e>
            <m:sub>
              <m:r>
                <m:t>i,t,</m:t>
              </m:r>
              <m:r>
                <m:t>τ</m:t>
              </m:r>
            </m:sub>
          </m:sSub>
          <m:sSub>
            <m:e>
              <m:r>
                <m:t> - y</m:t>
              </m:r>
            </m:e>
            <m:sub>
              <m:r>
                <m:t>i,t,</m:t>
              </m:r>
              <m:r>
                <m:t>τ</m:t>
              </m:r>
            </m:sub>
          </m:sSub>
          <m:r>
            <m:t>)</m:t>
          </m:r>
        </m:oMath>
      </m:oMathPara>
    </w:p>
    <w:p>
      <w:pPr>
        <w:pStyle w:val="Para"/>
      </w:pPr>
      <w:r>
        <w:t>This problem definition retains three constraints: each load must be able to use its own historical patterns for forecasting; tasks may share complementary information; and sharing intensity must vary with the operating state, target task, source task, and forecast horizon. The last constraint is the key distinction between Scheme2R and a fixed shared layer or static correlation matrix.</w:t>
      </w:r>
    </w:p>
    <w:p>
      <w:pPr>
        <w:pStyle w:val="Head2"/>
      </w:pPr>
      <w:r>
        <w:t>3.2 Overview Framework</w:t>
      </w:r>
    </w:p>
    <w:p>
      <w:pPr>
        <w:pStyle w:val="Para"/>
      </w:pPr>
      <w:r>
        <w:t>Figure 1 shows the overall workflow of the proposed network from input to output. The model first encodes the four loads and historical exogenous variables, then computes directed routing from the current-window state, target-task role, source-task role, and forecast-horizon context. It finally injects task-adapted cross-task information into each target task through a small residual and uses task–horizon-specific forecasting heads to output the next four steps of electricity, cooling, heating, and gas loads. The overall framework consists of seven stages: input processing, task encoding, context encoding, two-stage routing, message projection, residual fusion, and forecast output.</w:t>
      </w:r>
    </w:p>
    <w:p>
      <w:pPr>
        <w:pStyle w:val="Figure"/>
        <w:jc w:val="center"/>
      </w:pPr>
      <w: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Scheme2R_Framework_Diagram_v7.png"/>
                    <pic:cNvPicPr/>
                  </pic:nvPicPr>
                  <pic:blipFill>
                    <a:blip r:embed="rId26"/>
                    <a:stretch>
                      <a:fillRect/>
                    </a:stretch>
                  </pic:blipFill>
                  <pic:spPr>
                    <a:xfrm>
                      <a:off x="0" y="0"/>
                      <a:ext cx="5715000" cy="3214688"/>
                    </a:xfrm>
                    <a:prstGeom prst="rect"/>
                  </pic:spPr>
                </pic:pic>
              </a:graphicData>
            </a:graphic>
          </wp:inline>
        </w:drawing>
      </w:r>
    </w:p>
    <w:p>
      <w:pPr>
        <w:pStyle w:val="Figcaption"/>
        <w:jc w:val="center"/>
      </w:pPr>
      <w:r>
        <w:rPr>
          <w:b/>
        </w:rPr>
        <w:t>Figure 1.</w:t>
      </w:r>
      <w:r>
        <w:t xml:space="preserve"> Scheme2R input definition, dynamic directed sharing, and four-task multi-step forecasting output.</w:t>
      </w:r>
    </w:p>
    <w:p>
      <w:pPr>
        <w:pStyle w:val="Head3"/>
      </w:pPr>
      <w:r>
        <w:t>3.2.1 Input Data Processing and Representation</w:t>
      </w:r>
    </w:p>
    <w:p>
      <w:pPr>
        <w:pStyle w:val="Para"/>
      </w:pPr>
      <w:r>
        <w:t>The model input has two parts. The first is the historical observations of the four loads over the past 24 hours, and the second is the weather and calendar exogenous variables available within the same time window. The inputs are first standardized using training-set statistics and then organized into sliding windows along the temporal axis. This preserves the correspondence among multi-task loads at the same timestamp while avoiding the use of future weather information unavailable at forecast time. For each sample, the data pipeline forms loads with shape [B, 24, 4], exog with shape [B, 24, G], and organizes the target as [B, 4, 4].</w:t>
      </w:r>
    </w:p>
    <w:p>
      <w:pPr>
        <w:pStyle w:val="Para"/>
      </w:pPr>
      <m:oMathPara>
        <m:oMath>
          <m:sSub>
            <m:e>
              <m:r>
                <m:t>Input</m:t>
              </m:r>
            </m:e>
            <m:sub>
              <m:r>
                <m:t>t</m:t>
              </m:r>
            </m:sub>
          </m:sSub>
          <m:r>
            <m:t>=</m:t>
          </m:r>
          <m:r>
            <m:t>{</m:t>
          </m:r>
          <m:sSub>
            <m:e>
              <m:r>
                <m:t>X</m:t>
              </m:r>
            </m:e>
            <m:sub>
              <m:r>
                <m:t>t</m:t>
              </m:r>
            </m:sub>
          </m:sSub>
          <m:sSub>
            <m:e>
              <m:r>
                <m:t>,R</m:t>
              </m:r>
            </m:e>
            <m:sub>
              <m:r>
                <m:t>t</m:t>
              </m:r>
            </m:sub>
          </m:sSub>
          <m:r>
            <m:t>}</m:t>
          </m:r>
          <m:r>
            <m:t>, </m:t>
          </m:r>
          <m:r>
            <m:t> </m:t>
          </m:r>
          <m:sSub>
            <m:e>
              <m:r>
                <m:t> X</m:t>
              </m:r>
            </m:e>
            <m:sub>
              <m:r>
                <m:t>t</m:t>
              </m:r>
            </m:sub>
          </m:sSub>
          <m:r>
            <m:t>∈</m:t>
          </m:r>
          <m:sSup>
            <m:e>
              <m:r>
                <m:t>R</m:t>
              </m:r>
            </m:e>
            <m:sup>
              <m:r>
                <m:t>24</m:t>
              </m:r>
              <m:r>
                <m:t>×</m:t>
              </m:r>
              <m:r>
                <m:t>4</m:t>
              </m:r>
            </m:sup>
          </m:sSup>
          <m:r>
            <m:t>, </m:t>
          </m:r>
          <m:r>
            <m:t> </m:t>
          </m:r>
          <m:sSub>
            <m:e>
              <m:r>
                <m:t> R</m:t>
              </m:r>
            </m:e>
            <m:sub>
              <m:r>
                <m:t>t</m:t>
              </m:r>
            </m:sub>
          </m:sSub>
          <m:r>
            <m:t>∈</m:t>
          </m:r>
          <m:sSup>
            <m:e>
              <m:r>
                <m:t>R</m:t>
              </m:r>
            </m:e>
            <m:sup>
              <m:r>
                <m:t>24</m:t>
              </m:r>
              <m:r>
                <m:t>×</m:t>
              </m:r>
              <m:r>
                <m:t> G</m:t>
              </m:r>
            </m:sup>
          </m:sSup>
          <m:r>
            <m:t>, </m:t>
          </m:r>
          <m:r>
            <m:t> </m:t>
          </m:r>
          <m:r>
            <m:t> </m:t>
          </m:r>
          <m:sSub>
            <m:e>
              <m:r>
                <m:t>Target</m:t>
              </m:r>
            </m:e>
            <m:sub>
              <m:r>
                <m:t>t</m:t>
              </m:r>
            </m:sub>
          </m:sSub>
          <m:r>
            <m:t>∈</m:t>
          </m:r>
          <m:sSup>
            <m:e>
              <m:r>
                <m:t>R</m:t>
              </m:r>
            </m:e>
            <m:sup>
              <m:r>
                <m:t>4</m:t>
              </m:r>
              <m:r>
                <m:t>×</m:t>
              </m:r>
              <m:r>
                <m:t>4</m:t>
              </m:r>
            </m:sup>
          </m:sSup>
        </m:oMath>
      </m:oMathPara>
    </w:p>
    <w:p>
      <w:pPr>
        <w:pStyle w:val="Para"/>
      </w:pPr>
      <w:r>
        <w:t>This input organization follows the common ‘main time series + exogenous variables + unified output’ formulation in multi-energy forecasting studies [2], [3], and [6]. However, the present study does not indiscriminately concatenate all variables and feed them to a single shared encoder; instead, it preserves an independent temporal-encoding path for each load task in the next stage.</w:t>
      </w:r>
    </w:p>
    <w:p>
      <w:pPr>
        <w:pStyle w:val="Head3"/>
      </w:pPr>
      <w:r>
        <w:t>3.2.2 Task-Independent DS-TCN Temporal Encoding</w:t>
      </w:r>
    </w:p>
    <w:p>
      <w:pPr>
        <w:pStyle w:val="Para"/>
      </w:pPr>
      <w:r>
        <w:t>For each task i ∈ TaskSet, the model concatenates the task’s historical load sequence with the exogenous variables from the same history window to form the task input channels. The four tasks use DS-TCN encoders with identical structures but independent parameters. Each encoder can therefore first learn the periodicity, local changes, and short-term inertia of its own task without forcing other task representations to mix at the initial encoding stage.</w:t>
      </w:r>
    </w:p>
    <w:p>
      <w:pPr>
        <w:pStyle w:val="Para"/>
      </w:pPr>
      <m:oMathPara>
        <m:oMath>
          <m:sSub>
            <m:e>
              <m:r>
                <m:t>z</m:t>
              </m:r>
            </m:e>
            <m:sub>
              <m:r>
                <m:t>i</m:t>
              </m:r>
            </m:sub>
          </m:sSub>
          <m:sSubSup>
            <m:e>
              <m:r>
                <m:t> = [x</m:t>
              </m:r>
            </m:e>
            <m:sub>
              <m:r>
                <m:t>t-L+1:t</m:t>
              </m:r>
            </m:sub>
            <m:sup>
              <m:r>
                <m:t>i</m:t>
              </m:r>
            </m:sup>
          </m:sSubSup>
          <m:sSub>
            <m:e>
              <m:r>
                <m:t>; R</m:t>
              </m:r>
            </m:e>
            <m:sub>
              <m:r>
                <m:t>t</m:t>
              </m:r>
            </m:sub>
          </m:sSub>
          <m:r>
            <m:t>] </m:t>
          </m:r>
          <m:r>
            <m:t>∈</m:t>
          </m:r>
          <m:r>
            <m:t> </m:t>
          </m:r>
          <m:sSup>
            <m:e>
              <m:r>
                <m:t>R</m:t>
              </m:r>
            </m:e>
            <m:sup>
              <m:r>
                <m:t>L </m:t>
              </m:r>
              <m:r>
                <m:t>×</m:t>
              </m:r>
              <m:r>
                <m:t> (1+G)</m:t>
              </m:r>
            </m:sup>
          </m:sSup>
        </m:oMath>
      </m:oMathPara>
    </w:p>
    <w:p>
      <w:pPr>
        <w:pStyle w:val="Para"/>
      </w:pPr>
      <w:r>
        <w:t>Each DS-TCN residual block uses a depthwise-separable one-dimensional causal convolution: the depthwise convolution extracts temporal patterns within each channel, and the pointwise convolution then performs channel fusion. The current main model uses kernel size k = 5, dilation rates (1, 2, 4), and hidden dimension 32. Its theoretical receptive field is 1 + (k−1)(1+2+4) = 29, covering the 24-hour input window. The encoder retains the last-timestep representation and the window-average representation and fuses them into a task representation:</w:t>
      </w:r>
    </w:p>
    <w:p>
      <w:pPr>
        <w:pStyle w:val="Para"/>
      </w:pPr>
      <m:oMathPara>
        <m:oMath>
          <m:sSub>
            <m:e>
              <m:r>
                <m:t>h</m:t>
              </m:r>
            </m:e>
            <m:sub>
              <m:r>
                <m:t>i</m:t>
              </m:r>
            </m:sub>
          </m:sSub>
          <m:r>
            <m:t> = </m:t>
          </m:r>
          <m:r>
            <m:t>Pool</m:t>
          </m:r>
          <m:r>
            <m:t>(</m:t>
          </m:r>
          <m:sSub>
            <m:e>
              <m:r>
                <m:t>DS-TCN</m:t>
              </m:r>
            </m:e>
            <m:sub>
              <m:r>
                <m:t>i</m:t>
              </m:r>
            </m:sub>
          </m:sSub>
          <m:sSub>
            <m:e>
              <m:r>
                <m:t>(z</m:t>
              </m:r>
            </m:e>
            <m:sub>
              <m:r>
                <m:t>i</m:t>
              </m:r>
            </m:sub>
          </m:sSub>
          <m:r>
            <m:t>)) </m:t>
          </m:r>
          <m:r>
            <m:t>∈</m:t>
          </m:r>
          <m:r>
            <m:t> </m:t>
          </m:r>
          <m:sSup>
            <m:e>
              <m:r>
                <m:t>R</m:t>
              </m:r>
            </m:e>
            <m:sup>
              <m:r>
                <m:t>32</m:t>
              </m:r>
            </m:sup>
          </m:sSup>
          <m:r>
            <m:t>, </m:t>
          </m:r>
          <m:r>
            <m:t> </m:t>
          </m:r>
          <m:r>
            <m:t> i </m:t>
          </m:r>
          <m:r>
            <m:t>∈</m:t>
          </m:r>
          <m:r>
            <m:t> </m:t>
          </m:r>
          <m:r>
            <m:t>{</m:t>
          </m:r>
          <m:r>
            <m:t>e,c,h,g</m:t>
          </m:r>
          <m:r>
            <m:t>}</m:t>
          </m:r>
        </m:oMath>
      </m:oMathPara>
    </w:p>
    <w:p>
      <w:pPr>
        <w:pStyle w:val="Para"/>
      </w:pPr>
      <w:r>
        <w:t>Here, h_i is the local temporal representation of task i. Because the four encoders do not share parameters, h_i still retains task-specific information before entering the cross-task router, providing a clear source representation for deciding which information can be shared.</w:t>
      </w:r>
    </w:p>
    <w:p>
      <w:pPr>
        <w:pStyle w:val="Head3"/>
      </w:pPr>
      <w:r>
        <w:t>3.2.3 State Encoding, Forecast-Horizon Context, and Task Roles</w:t>
      </w:r>
    </w:p>
    <w:p>
      <w:pPr>
        <w:pStyle w:val="Para"/>
      </w:pPr>
      <w:r>
        <w:t>Sharing based only on static task relationships cannot reflect changes in weather, calendar, and operating state. Therefore, the state encoder applies a lightweight MLP to each time step of R_t and then extracts four statistical features from the window: the last timestep, the mean, the standard deviation, and the start-to-end trend. These features produce the current-window state vector s. The vector describes the external operating state of the current sample but is not itself the historical load.</w:t>
      </w:r>
    </w:p>
    <w:p>
      <w:pPr>
        <w:pStyle w:val="Para"/>
      </w:pPr>
      <m:oMathPara>
        <m:oMath>
          <m:sSub>
            <m:e>
              <m:r>
                <m:t>u</m:t>
              </m:r>
            </m:e>
            <m:sub>
              <m:r>
                <m:t>l</m:t>
              </m:r>
            </m:sub>
          </m:sSub>
          <m:r>
            <m:t> = </m:t>
          </m:r>
          <m:r>
            <m:t>GELU</m:t>
          </m:r>
          <m:sSub>
            <m:e>
              <m:r>
                <m:t>(W</m:t>
              </m:r>
            </m:e>
            <m:sub>
              <m:r>
                <m:t>r</m:t>
              </m:r>
            </m:sub>
          </m:sSub>
          <m:sSub>
            <m:e>
              <m:r>
                <m:t> r</m:t>
              </m:r>
            </m:e>
            <m:sub>
              <m:r>
                <m:t>l</m:t>
              </m:r>
            </m:sub>
          </m:sSub>
          <m:sSub>
            <m:e>
              <m:r>
                <m:t> + b</m:t>
              </m:r>
            </m:e>
            <m:sub>
              <m:r>
                <m:t>r</m:t>
              </m:r>
            </m:sub>
          </m:sSub>
          <m:r>
            <m:t>), </m:t>
          </m:r>
          <m:r>
            <m:t> </m:t>
          </m:r>
          <m:sSub>
            <m:e>
              <m:r>
                <m:t> s = P([u</m:t>
              </m:r>
            </m:e>
            <m:sub>
              <m:r>
                <m:t>L</m:t>
              </m:r>
            </m:sub>
          </m:sSub>
          <m:r>
            <m:t>;</m:t>
          </m:r>
          <m:r>
            <m:t>mean</m:t>
          </m:r>
          <m:r>
            <m:t>(u);</m:t>
          </m:r>
          <m:r>
            <m:t>std</m:t>
          </m:r>
          <m:sSub>
            <m:e>
              <m:r>
                <m:t>(u);u</m:t>
              </m:r>
            </m:e>
            <m:sub>
              <m:r>
                <m:t>L</m:t>
              </m:r>
            </m:sub>
          </m:sSub>
          <m:sSub>
            <m:e>
              <m:r>
                <m:t>-u</m:t>
              </m:r>
            </m:e>
            <m:sub>
              <m:r>
                <m:t>1</m:t>
              </m:r>
            </m:sub>
          </m:sSub>
          <m:r>
            <m:t>]) </m:t>
          </m:r>
          <m:r>
            <m:t>∈</m:t>
          </m:r>
          <m:r>
            <m:t> </m:t>
          </m:r>
          <m:sSup>
            <m:e>
              <m:r>
                <m:t>R</m:t>
              </m:r>
            </m:e>
            <m:sup>
              <m:r>
                <m:t>16</m:t>
              </m:r>
            </m:sup>
          </m:sSup>
        </m:oMath>
      </m:oMathPara>
    </w:p>
    <w:p>
      <w:pPr>
        <w:pStyle w:val="Para"/>
      </w:pPr>
      <w:r>
        <w:t>In addition, a learnable horizon embedding a_tau ∈ R^4 is assigned to the tau-th future forecast step, and learnable role embeddings qT_i and qS_j ∈ R^8 are assigned to the target and source tasks, respectively. These are not additional historical observations; they are task-condition vectors that allow the router to distinguish which task is being forecast, which task supplies information, and which future forecast step is being considered.</w:t>
      </w:r>
    </w:p>
    <w:p>
      <w:pPr>
        <w:pStyle w:val="Head3"/>
      </w:pPr>
      <w:r>
        <w:t>3.2.4 Two-Stage State- and Forecast-Horizon-Conditioned Directed Routing</w:t>
      </w:r>
    </w:p>
    <w:p>
      <w:pPr>
        <w:pStyle w:val="Para"/>
      </w:pPr>
      <w:r>
        <w:t>Scheme2R decomposes cross-task sharing into two decisions. The first determines whether target task i needs cross-task information at forecast horizon tau and estimates the overall sharing intensity. The second excludes the self-task and allocates the relative contribution of each source task j. This explicitly separates ‘how much to share’ from ‘from whom to share’ and avoids forcing one weight to carry both meanings.</w:t>
      </w:r>
    </w:p>
    <w:p>
      <w:pPr>
        <w:pStyle w:val="Para"/>
      </w:pPr>
      <m:oMathPara>
        <m:oMath>
          <m:sSub>
            <m:e>
              <m:r>
                <m:t>ρ</m:t>
              </m:r>
            </m:e>
            <m:sub>
              <m:r>
                <m:t>i,</m:t>
              </m:r>
              <m:r>
                <m:t>τ</m:t>
              </m:r>
            </m:sub>
          </m:sSub>
          <m:r>
            <m:t> = </m:t>
          </m:r>
          <m:r>
            <m:t>sigmoid</m:t>
          </m:r>
          <m:sSub>
            <m:e>
              <m:r>
                <m:t>(f</m:t>
              </m:r>
            </m:e>
            <m:sub>
              <m:r>
                <m:t>ρ</m:t>
              </m:r>
            </m:sub>
          </m:sSub>
          <m:sSub>
            <m:e>
              <m:r>
                <m:t>([s;h</m:t>
              </m:r>
            </m:e>
            <m:sub>
              <m:r>
                <m:t>i</m:t>
              </m:r>
            </m:sub>
          </m:sSub>
          <m:sSubSup>
            <m:e>
              <m:r>
                <m:t>;q</m:t>
              </m:r>
            </m:e>
            <m:sub>
              <m:r>
                <m:t>i</m:t>
              </m:r>
            </m:sub>
            <m:sup>
              <m:r>
                <m:t>T</m:t>
              </m:r>
            </m:sup>
          </m:sSubSup>
          <m:sSub>
            <m:e>
              <m:r>
                <m:t>;a</m:t>
              </m:r>
            </m:e>
            <m:sub>
              <m:r>
                <m:t>τ</m:t>
              </m:r>
            </m:sub>
          </m:sSub>
          <m:r>
            <m:t>])) </m:t>
          </m:r>
          <m:r>
            <m:t>∈</m:t>
          </m:r>
          <m:r>
            <m:t> (0,1)</m:t>
          </m:r>
        </m:oMath>
      </m:oMathPara>
    </w:p>
    <w:p>
      <w:pPr>
        <w:pStyle w:val="Para"/>
      </w:pPr>
      <m:oMathPara>
        <m:oMath>
          <m:sSub>
            <m:e>
              <m:r>
                <m:t>π</m:t>
              </m:r>
            </m:e>
            <m:sub>
              <m:r>
                <m:t>i</m:t>
              </m:r>
              <m:r>
                <m:t>←</m:t>
              </m:r>
              <m:r>
                <m:t> j,</m:t>
              </m:r>
              <m:r>
                <m:t>τ</m:t>
              </m:r>
            </m:sub>
          </m:sSub>
          <m:r>
            <m:t> = </m:t>
          </m:r>
          <m:sSub>
            <m:e>
              <m:r>
                <m:t>softmax</m:t>
              </m:r>
            </m:e>
            <m:sub>
              <m:r>
                <m:t>j</m:t>
              </m:r>
              <m:r>
                <m:t>≠</m:t>
              </m:r>
              <m:r>
                <m:t> i</m:t>
              </m:r>
            </m:sub>
          </m:sSub>
          <m:sSub>
            <m:e>
              <m:r>
                <m:t> f</m:t>
              </m:r>
            </m:e>
            <m:sub>
              <m:r>
                <m:t>π</m:t>
              </m:r>
            </m:sub>
          </m:sSub>
          <m:sSub>
            <m:e>
              <m:r>
                <m:t>([s;h</m:t>
              </m:r>
            </m:e>
            <m:sub>
              <m:r>
                <m:t>i</m:t>
              </m:r>
            </m:sub>
          </m:sSub>
          <m:sSub>
            <m:e>
              <m:r>
                <m:t>;h</m:t>
              </m:r>
            </m:e>
            <m:sub>
              <m:r>
                <m:t>j</m:t>
              </m:r>
            </m:sub>
          </m:sSub>
          <m:sSub>
            <m:e>
              <m:r>
                <m:t>;h</m:t>
              </m:r>
            </m:e>
            <m:sub>
              <m:r>
                <m:t>j</m:t>
              </m:r>
            </m:sub>
          </m:sSub>
          <m:sSub>
            <m:e>
              <m:r>
                <m:t>-h</m:t>
              </m:r>
            </m:e>
            <m:sub>
              <m:r>
                <m:t>i</m:t>
              </m:r>
            </m:sub>
          </m:sSub>
          <m:sSub>
            <m:e>
              <m:r>
                <m:t>;h</m:t>
              </m:r>
            </m:e>
            <m:sub>
              <m:r>
                <m:t>i</m:t>
              </m:r>
            </m:sub>
          </m:sSub>
          <m:r>
            <m:t>⊙</m:t>
          </m:r>
          <m:sSub>
            <m:e>
              <m:r>
                <m:t> h</m:t>
              </m:r>
            </m:e>
            <m:sub>
              <m:r>
                <m:t>j</m:t>
              </m:r>
            </m:sub>
          </m:sSub>
          <m:sSubSup>
            <m:e>
              <m:r>
                <m:t>;q</m:t>
              </m:r>
            </m:e>
            <m:sub>
              <m:r>
                <m:t>i</m:t>
              </m:r>
            </m:sub>
            <m:sup>
              <m:r>
                <m:t>T</m:t>
              </m:r>
            </m:sup>
          </m:sSubSup>
          <m:sSubSup>
            <m:e>
              <m:r>
                <m:t>;q</m:t>
              </m:r>
            </m:e>
            <m:sub>
              <m:r>
                <m:t>j</m:t>
              </m:r>
            </m:sub>
            <m:sup>
              <m:r>
                <m:t>S</m:t>
              </m:r>
            </m:sup>
          </m:sSubSup>
          <m:sSub>
            <m:e>
              <m:r>
                <m:t>;a</m:t>
              </m:r>
            </m:e>
            <m:sub>
              <m:r>
                <m:t>τ</m:t>
              </m:r>
            </m:sub>
          </m:sSub>
          <m:r>
            <m:t>])</m:t>
          </m:r>
        </m:oMath>
      </m:oMathPara>
    </w:p>
    <w:p>
      <w:pPr>
        <w:pStyle w:val="Para"/>
      </w:pPr>
      <w:r>
        <w:t>Here, rho_(i,tau) is the overall sharing intensity at the target-task–forecast-horizon level, and pi_(i&lt;-j,tau) is the relative allocation from source task j to target task i, with softmax applied only over candidate sources satisfying j ≠ i. The final directed gate is:</w:t>
      </w:r>
    </w:p>
    <w:p>
      <w:pPr>
        <w:pStyle w:val="Para"/>
      </w:pPr>
      <m:oMathPara>
        <m:oMath>
          <m:sSub>
            <m:e>
              <m:r>
                <m:t>G</m:t>
              </m:r>
            </m:e>
            <m:sub>
              <m:r>
                <m:t>i</m:t>
              </m:r>
              <m:r>
                <m:t>←</m:t>
              </m:r>
              <m:r>
                <m:t> j,</m:t>
              </m:r>
              <m:r>
                <m:t>τ</m:t>
              </m:r>
            </m:sub>
          </m:sSub>
          <m:r>
            <m:t> = </m:t>
          </m:r>
          <m:sSub>
            <m:e>
              <m:r>
                <m:t>ρ</m:t>
              </m:r>
            </m:e>
            <m:sub>
              <m:r>
                <m:t>i,</m:t>
              </m:r>
              <m:r>
                <m:t>τ</m:t>
              </m:r>
            </m:sub>
          </m:sSub>
          <m:sSub>
            <m:e>
              <m:r>
                <m:t>π</m:t>
              </m:r>
            </m:e>
            <m:sub>
              <m:r>
                <m:t>i</m:t>
              </m:r>
              <m:r>
                <m:t>←</m:t>
              </m:r>
              <m:r>
                <m:t> j,</m:t>
              </m:r>
              <m:r>
                <m:t>τ</m:t>
              </m:r>
            </m:sub>
          </m:sSub>
          <m:r>
            <m:t> </m:t>
          </m:r>
          <m:r>
            <m:t>(j</m:t>
          </m:r>
          <m:r>
            <m:t>≠</m:t>
          </m:r>
          <m:r>
            <m:t> i), </m:t>
          </m:r>
          <m:r>
            <m:t> </m:t>
          </m:r>
          <m:sSub>
            <m:e>
              <m:r>
                <m:t> G</m:t>
              </m:r>
            </m:e>
            <m:sub>
              <m:r>
                <m:t>i</m:t>
              </m:r>
              <m:r>
                <m:t>←</m:t>
              </m:r>
              <m:r>
                <m:t> i,</m:t>
              </m:r>
              <m:r>
                <m:t>τ</m:t>
              </m:r>
            </m:sub>
          </m:sSub>
          <m:r>
            <m:t>=0</m:t>
          </m:r>
        </m:oMath>
      </m:oMathPara>
    </w:p>
    <w:p>
      <w:pPr>
        <w:pStyle w:val="Para"/>
      </w:pPr>
      <w:r>
        <w:t>Accordingly, G_(i&lt;-j,tau) generally differs from G_(j&lt;-i,tau). The router is a lightweight MLP whose inputs are state and task-relation features; it is not a temporal self-attention layer in a Transformer. Its output is the strength of cross-task message transfer, not an attention matrix between temporal positions.</w:t>
      </w:r>
    </w:p>
    <w:p>
      <w:pPr>
        <w:pStyle w:val="Head3"/>
      </w:pPr>
      <w:r>
        <w:t>3.2.5 Low-Rank Directed Message Projection and Stable Residual Fusion</w:t>
      </w:r>
    </w:p>
    <w:p>
      <w:pPr>
        <w:pStyle w:val="Para"/>
      </w:pPr>
      <w:r>
        <w:t>The gate determines only the transfer strength; the source-task representation must still be converted into a message that the target task can use. To reduce the parameter count of fully connected projections among four tasks, the model uses low-rank directed projections: a source-task-specific down-projection first compresses the 32-dimensional representation to r = 8, a learnable target–source pair scaling vector modulates the low-rank channels, and a target-task-specific up-projection then restores the representation to 32 dimensions.</w:t>
      </w:r>
    </w:p>
    <w:p>
      <w:pPr>
        <w:pStyle w:val="Para"/>
      </w:pPr>
      <m:oMathPara>
        <m:oMath>
          <m:sSub>
            <m:e>
              <m:r>
                <m:t>m</m:t>
              </m:r>
            </m:e>
            <m:sub>
              <m:r>
                <m:t>i</m:t>
              </m:r>
              <m:r>
                <m:t>←</m:t>
              </m:r>
              <m:r>
                <m:t> j</m:t>
              </m:r>
            </m:sub>
          </m:sSub>
          <m:sSub>
            <m:e>
              <m:r>
                <m:t>=U</m:t>
              </m:r>
            </m:e>
            <m:sub>
              <m:r>
                <m:t>i</m:t>
              </m:r>
            </m:sub>
          </m:sSub>
          <m:sSub>
            <m:e>
              <m:r>
                <m:t>(a</m:t>
              </m:r>
            </m:e>
            <m:sub>
              <m:r>
                <m:t>i,j</m:t>
              </m:r>
            </m:sub>
          </m:sSub>
          <m:r>
            <m:t>⊙</m:t>
          </m:r>
          <m:sSub>
            <m:e>
              <m:r>
                <m:t>(V</m:t>
              </m:r>
            </m:e>
            <m:sub>
              <m:r>
                <m:t>j</m:t>
              </m:r>
            </m:sub>
          </m:sSub>
          <m:sSub>
            <m:e>
              <m:r>
                <m:t>h</m:t>
              </m:r>
            </m:e>
            <m:sub>
              <m:r>
                <m:t>j</m:t>
              </m:r>
            </m:sub>
          </m:sSub>
          <m:r>
            <m:t>)), </m:t>
          </m:r>
          <m:r>
            <m:t> </m:t>
          </m:r>
          <m:sSub>
            <m:e>
              <m:r>
                <m:t> V</m:t>
              </m:r>
            </m:e>
            <m:sub>
              <m:r>
                <m:t>j</m:t>
              </m:r>
            </m:sub>
          </m:sSub>
          <m:r>
            <m:t>:</m:t>
          </m:r>
          <m:sSup>
            <m:e>
              <m:r>
                <m:t>R</m:t>
              </m:r>
            </m:e>
            <m:sup>
              <m:r>
                <m:t>32</m:t>
              </m:r>
            </m:sup>
          </m:sSup>
          <m:r>
            <m:t>→</m:t>
          </m:r>
          <m:sSup>
            <m:e>
              <m:r>
                <m:t>R</m:t>
              </m:r>
            </m:e>
            <m:sup>
              <m:r>
                <m:t>8</m:t>
              </m:r>
            </m:sup>
          </m:sSup>
          <m:r>
            <m:t>, </m:t>
          </m:r>
          <m:r>
            <m:t> </m:t>
          </m:r>
          <m:sSub>
            <m:e>
              <m:r>
                <m:t> U</m:t>
              </m:r>
            </m:e>
            <m:sub>
              <m:r>
                <m:t>i</m:t>
              </m:r>
            </m:sub>
          </m:sSub>
          <m:r>
            <m:t>:</m:t>
          </m:r>
          <m:sSup>
            <m:e>
              <m:r>
                <m:t>R</m:t>
              </m:r>
            </m:e>
            <m:sup>
              <m:r>
                <m:t>8</m:t>
              </m:r>
            </m:sup>
          </m:sSup>
          <m:r>
            <m:t>→</m:t>
          </m:r>
          <m:sSup>
            <m:e>
              <m:r>
                <m:t>R</m:t>
              </m:r>
            </m:e>
            <m:sup>
              <m:r>
                <m:t>32</m:t>
              </m:r>
            </m:sup>
          </m:sSup>
        </m:oMath>
      </m:oMathPara>
    </w:p>
    <w:p>
      <w:pPr>
        <w:pStyle w:val="Para"/>
      </w:pPr>
      <w:r>
        <w:t>For each target task i and forecast horizon tau, the model first uses pi_(i&lt;-j,tau) to sum all source messages, then applies LayerNorm, and finally injects the result into the target representation through a task residual coefficient alpha_i initialized to a small positive value:</w:t>
      </w:r>
    </w:p>
    <w:p>
      <w:pPr>
        <w:pStyle w:val="Para"/>
      </w:pPr>
      <m:oMathPara>
        <m:oMath>
          <m:sSub>
            <m:e>
              <m:r>
                <m:t>m</m:t>
              </m:r>
            </m:e>
            <m:sub>
              <m:r>
                <m:t>i,</m:t>
              </m:r>
              <m:r>
                <m:t>τ</m:t>
              </m:r>
            </m:sub>
          </m:sSub>
          <m:r>
            <m:t>=</m:t>
          </m:r>
          <m:r>
            <m:t>LayerNorm</m:t>
          </m:r>
          <m:r>
            <m:t>(</m:t>
          </m:r>
          <m:sSub>
            <m:e>
              <m:r>
                <m:t>∑</m:t>
              </m:r>
            </m:e>
            <m:sub>
              <m:r>
                <m:t>j</m:t>
              </m:r>
              <m:r>
                <m:t>≠</m:t>
              </m:r>
              <m:r>
                <m:t> i</m:t>
              </m:r>
            </m:sub>
          </m:sSub>
          <m:sSub>
            <m:e>
              <m:r>
                <m:t>π</m:t>
              </m:r>
            </m:e>
            <m:sub>
              <m:r>
                <m:t>i</m:t>
              </m:r>
              <m:r>
                <m:t>←</m:t>
              </m:r>
              <m:r>
                <m:t> j,</m:t>
              </m:r>
              <m:r>
                <m:t>τ</m:t>
              </m:r>
            </m:sub>
          </m:sSub>
          <m:sSub>
            <m:e>
              <m:r>
                <m:t>m</m:t>
              </m:r>
            </m:e>
            <m:sub>
              <m:r>
                <m:t>i</m:t>
              </m:r>
              <m:r>
                <m:t>←</m:t>
              </m:r>
              <m:r>
                <m:t> j</m:t>
              </m:r>
            </m:sub>
          </m:sSub>
          <m:r>
            <m:t>)</m:t>
          </m:r>
        </m:oMath>
      </m:oMathPara>
    </w:p>
    <w:p>
      <w:pPr>
        <w:pStyle w:val="Para"/>
      </w:pPr>
      <m:oMathPara>
        <m:oMath>
          <m:sSub>
            <m:e>
              <m:acc>
                <m:accPr>
                  <m:chr m:val="~"/>
                </m:accPr>
                <m:e>
                  <m:r>
                    <m:t>h</m:t>
                  </m:r>
                </m:e>
              </m:acc>
            </m:e>
            <m:sub>
              <m:r>
                <m:t>i,</m:t>
              </m:r>
              <m:r>
                <m:t>τ</m:t>
              </m:r>
            </m:sub>
          </m:sSub>
          <m:sSub>
            <m:e>
              <m:r>
                <m:t>=h</m:t>
              </m:r>
            </m:e>
            <m:sub>
              <m:r>
                <m:t>i</m:t>
              </m:r>
            </m:sub>
          </m:sSub>
          <m:r>
            <m:t>+</m:t>
          </m:r>
          <m:sSub>
            <m:e>
              <m:r>
                <m:t>α</m:t>
              </m:r>
            </m:e>
            <m:sub>
              <m:r>
                <m:t>i</m:t>
              </m:r>
            </m:sub>
          </m:sSub>
          <m:sSub>
            <m:e>
              <m:r>
                <m:t>ρ</m:t>
              </m:r>
            </m:e>
            <m:sub>
              <m:r>
                <m:t>i,</m:t>
              </m:r>
              <m:r>
                <m:t>τ</m:t>
              </m:r>
            </m:sub>
          </m:sSub>
          <m:sSub>
            <m:e>
              <m:r>
                <m:t>m</m:t>
              </m:r>
            </m:e>
            <m:sub>
              <m:r>
                <m:t>i,</m:t>
              </m:r>
              <m:r>
                <m:t>τ</m:t>
              </m:r>
            </m:sub>
          </m:sSub>
        </m:oMath>
      </m:oMathPara>
    </w:p>
    <w:p>
      <w:pPr>
        <w:pStyle w:val="Para"/>
      </w:pPr>
      <w:r>
        <w:t>This structure preserves an explicit independent path h_i while providing a state-conditioned cross-task supplementary path. When rho_(i,tau) is close to zero, the target-task–horizon prediction nearly degenerates to a single-task prediction. Cross-task messages enter the target task in a controlled residual form only when the router determines that they are useful.</w:t>
      </w:r>
    </w:p>
    <w:p>
      <w:pPr>
        <w:pStyle w:val="Head3"/>
      </w:pPr>
      <w:r>
        <w:t>3.2.6 Task–Horizon-Specific Forecasting Heads and Output</w:t>
      </w:r>
    </w:p>
    <w:p>
      <w:pPr>
        <w:pStyle w:val="Para"/>
      </w:pPr>
      <w:r>
        <w:t>The fused representation is expanded along the forecast-horizon dimension and has shape [B, H, M, 32], which is [B, 4, 4, 32] in the current setting. The model does not use one shared linear layer to directly compress a 32-dimensional representation into four predictions. Instead, it configures one small scalar forecasting head for every task and every forecast horizon, yielding 4 × 4 = 16 heads. Each head has the structure 32 → 16 → GELU → 1:</w:t>
      </w:r>
    </w:p>
    <w:p>
      <w:pPr>
        <w:pStyle w:val="Para"/>
      </w:pPr>
      <m:oMathPara>
        <m:oMath>
          <m:sSub>
            <m:e>
              <m:acc>
                <m:accPr>
                  <m:chr m:val="^"/>
                </m:accPr>
                <m:e>
                  <m:r>
                    <m:t>y</m:t>
                  </m:r>
                </m:e>
              </m:acc>
            </m:e>
            <m:sub>
              <m:r>
                <m:t>i,</m:t>
              </m:r>
              <m:r>
                <m:t>τ</m:t>
              </m:r>
            </m:sub>
          </m:sSub>
          <m:sSub>
            <m:e>
              <m:r>
                <m:t>=q</m:t>
              </m:r>
            </m:e>
            <m:sub>
              <m:r>
                <m:t>i,</m:t>
              </m:r>
              <m:r>
                <m:t>τ</m:t>
              </m:r>
            </m:sub>
          </m:sSub>
          <m:r>
            <m:t>(</m:t>
          </m:r>
          <m:sSub>
            <m:e>
              <m:acc>
                <m:accPr>
                  <m:chr m:val="~"/>
                </m:accPr>
                <m:e>
                  <m:r>
                    <m:t>h</m:t>
                  </m:r>
                </m:e>
              </m:acc>
            </m:e>
            <m:sub>
              <m:r>
                <m:t>i,</m:t>
              </m:r>
              <m:r>
                <m:t>τ</m:t>
              </m:r>
            </m:sub>
          </m:sSub>
          <m:r>
            <m:t>), </m:t>
          </m:r>
          <m:r>
            <m:t> </m:t>
          </m:r>
          <m:sSub>
            <m:e>
              <m:r>
                <m:t> q</m:t>
              </m:r>
            </m:e>
            <m:sub>
              <m:r>
                <m:t>i,</m:t>
              </m:r>
              <m:r>
                <m:t>τ</m:t>
              </m:r>
            </m:sub>
          </m:sSub>
          <m:r>
            <m:t>:</m:t>
          </m:r>
          <m:sSup>
            <m:e>
              <m:r>
                <m:t>R</m:t>
              </m:r>
            </m:e>
            <m:sup>
              <m:r>
                <m:t>32</m:t>
              </m:r>
            </m:sup>
          </m:sSup>
          <m:r>
            <m:t>→</m:t>
          </m:r>
          <m:sSup>
            <m:e>
              <m:r>
                <m:t>R</m:t>
              </m:r>
            </m:e>
            <m:sup>
              <m:r>
                <m:t>16</m:t>
              </m:r>
            </m:sup>
          </m:sSup>
          <m:r>
            <m:t>→</m:t>
          </m:r>
          <m:r>
            <m:t>GELU</m:t>
          </m:r>
          <m:r>
            <m:t>→</m:t>
          </m:r>
          <m:sSup>
            <m:e>
              <m:r>
                <m:t>R</m:t>
              </m:r>
            </m:e>
            <m:sup>
              <m:r>
                <m:t>1</m:t>
              </m:r>
            </m:sup>
          </m:sSup>
        </m:oMath>
      </m:oMathPara>
    </w:p>
    <w:p>
      <w:pPr>
        <w:pStyle w:val="Para"/>
      </w:pPr>
      <m:oMathPara>
        <m:oMath>
          <m:acc>
            <m:accPr>
              <m:chr m:val="^"/>
            </m:accPr>
            <m:e>
              <m:r>
                <m:t>Y</m:t>
              </m:r>
            </m:e>
          </m:acc>
          <m:r>
            <m:t>=[</m:t>
          </m:r>
          <m:sSub>
            <m:e>
              <m:acc>
                <m:accPr>
                  <m:chr m:val="^"/>
                </m:accPr>
                <m:e>
                  <m:r>
                    <m:t>y</m:t>
                  </m:r>
                </m:e>
              </m:acc>
            </m:e>
            <m:sub>
              <m:r>
                <m:t>i,</m:t>
              </m:r>
              <m:r>
                <m:t>τ</m:t>
              </m:r>
            </m:sub>
          </m:sSub>
          <m:sSub>
            <m:e>
              <m:r>
                <m:t>]</m:t>
              </m:r>
            </m:e>
            <m:sub>
              <m:r>
                <m:t>τ</m:t>
              </m:r>
              <m:r>
                <m:t>=1</m:t>
              </m:r>
              <m:r>
                <m:t>…</m:t>
              </m:r>
              <m:r>
                <m:t>4,</m:t>
              </m:r>
              <m:r>
                <m:t> </m:t>
              </m:r>
              <m:r>
                <m:t>i</m:t>
              </m:r>
              <m:r>
                <m:t>∈</m:t>
              </m:r>
              <m:r>
                <m:t>{</m:t>
              </m:r>
              <m:r>
                <m:t>e,c,h,g</m:t>
              </m:r>
              <m:r>
                <m:t>}</m:t>
              </m:r>
            </m:sub>
          </m:sSub>
          <m:r>
            <m:t> </m:t>
          </m:r>
          <m:r>
            <m:t>∈</m:t>
          </m:r>
          <m:r>
            <m:t> </m:t>
          </m:r>
          <m:sSup>
            <m:e>
              <m:r>
                <m:t>R</m:t>
              </m:r>
            </m:e>
            <m:sup>
              <m:r>
                <m:t>H</m:t>
              </m:r>
              <m:r>
                <m:t>×</m:t>
              </m:r>
              <m:r>
                <m:t> M</m:t>
              </m:r>
            </m:sup>
          </m:sSup>
          <m:r>
            <m:t>=</m:t>
          </m:r>
          <m:sSup>
            <m:e>
              <m:r>
                <m:t>R</m:t>
              </m:r>
            </m:e>
            <m:sup>
              <m:r>
                <m:t>4</m:t>
              </m:r>
              <m:r>
                <m:t>×</m:t>
              </m:r>
              <m:r>
                <m:t>4</m:t>
              </m:r>
            </m:sup>
          </m:sSup>
        </m:oMath>
      </m:oMathPara>
    </w:p>
    <w:p>
      <w:pPr>
        <w:pStyle w:val="Para"/>
      </w:pPr>
      <w:r>
        <w:t>The second dimension of the output tensor is the future forecast horizon, and the third dimension is the task. Under the fixed task order, prediction[:, 0, 0] denotes the electricity load at forecast step 1, and prediction[:, 3, 2] denotes the heating load at forecast step 4. This arrangement is consistent with target [batch, 4, 4] in the data pipeline and can be used directly to calculate task-wise, horizon-wise, and overall metrics.</w:t>
      </w:r>
    </w:p>
    <w:p>
      <w:pPr>
        <w:pStyle w:val="Head3"/>
      </w:pPr>
      <w:r>
        <w:t>3.2.7 Overall Forward-Pass Workflow</w:t>
      </w:r>
    </w:p>
    <w:p>
      <w:pPr>
        <w:pStyle w:val="Para"/>
      </w:pPr>
      <w:r>
        <w:t>Connecting the modules above, the Scheme2R forward computation can be summarized as follows: four task-independent encoders process historical loads and exogenous variables; the state encoder summarizes the current-window state; forecast-horizon and task-role embeddings provide routing context; the two-stage directed router outputs overall sharing intensity and source allocation; low-rank projections generate direction-specific cross-task messages; residual fusion produces enhanced representations for each task and forecast horizon; and 16 task–horizon-specific forecasting heads output four-step forecasts for the four loads.</w:t>
      </w:r>
    </w:p>
    <w:p>
      <w:pPr>
        <w:pStyle w:val="Para"/>
      </w:pPr>
      <m:oMathPara>
        <m:oMath>
          <m:r>
            <m:t>([B,24,4],[B,24,G])</m:t>
          </m:r>
          <m:r>
            <m:t>→</m:t>
          </m:r>
          <m:r>
            <m:t>[B,4,32],</m:t>
          </m:r>
          <m:r>
            <m:t> </m:t>
          </m:r>
          <m:r>
            <m:t>[B,16],</m:t>
          </m:r>
          <m:r>
            <m:t> </m:t>
          </m:r>
          <m:r>
            <m:t>[4,4],</m:t>
          </m:r>
          <m:r>
            <m:t> </m:t>
          </m:r>
          <m:r>
            <m:t>[4,8],</m:t>
          </m:r>
          <m:r>
            <m:t> </m:t>
          </m:r>
          <m:r>
            <m:t>[4,8]</m:t>
          </m:r>
          <m:r>
            <m:t>→</m:t>
          </m:r>
          <m:r>
            <m:t>[B,4,4,32]</m:t>
          </m:r>
          <m:r>
            <m:t>→</m:t>
          </m:r>
          <m:r>
            <m:t>[B,4,4]</m:t>
          </m:r>
        </m:oMath>
      </m:oMathPara>
    </w:p>
    <w:p>
      <w:pPr>
        <w:pStyle w:val="Para"/>
      </w:pPr>
      <w:r>
        <w:t>Here, [B,24,4] is the historical window of the four loads and [B,24,G] is the historical exogenous-variable window. The four independent encoders output task representations [B,4,32], the state encoder outputs [B,16], the horizon embeddings have shape [4,4], and the target and source role embeddings each have shape [4,8]. These are multiple conditional inputs to the router rather than vectors added elementwise. Routing and fusion produce [B,4,4,32], and the final [B,4,4] is the four-step forecast of electricity, cooling, heating, and gas loads.</w:t>
      </w:r>
    </w:p>
    <w:p>
      <w:pPr>
        <w:pStyle w:val="Para"/>
      </w:pPr>
      <w:r>
        <w:t>In summary, the core of the proposed network is not unconditional mixing of all tasks. Instead, on the basis of independent task-specific temporal encoding, it dynamically decides from the current state, task roles, and forecast horizon whether cross-task information should be transferred, which source task should provide it, and how much should be transferred.</w:t>
      </w:r>
    </w:p>
    <w:p>
      <w:pPr>
        <w:pStyle w:val="Referencetitle"/>
      </w:pPr>
      <w:r>
        <w:t>REFERENCES</w:t>
      </w:r>
    </w:p>
    <w:p>
      <w:pPr>
        <w:pStyle w:val="Referenceitem"/>
      </w:pPr>
      <w:r>
        <w:t>[1] DUAN P, ZHAO X, HU J, et al. Multi-energy load forecasting incorporating AI algorithms: research status and trends in integrated energy systems[J]. Renewable and Sustainable Energy Reviews, 2026, 229: 116611. DOI: 10.1016/j.rser.2025.116611.</w:t>
      </w:r>
    </w:p>
    <w:p>
      <w:pPr>
        <w:pStyle w:val="Referenceitem"/>
      </w:pPr>
      <w:r>
        <w:t>[2] ZHANG W, CAI Y, ZHAN H, et al. Multi-energy load forecasting for small-sample integrated energy systems based on neural network Gaussian process and multi-task learning[J]. Energy Conversion and Management, 2024, 321: 119027. DOI: 10.1016/j.enconman.2024.119027.</w:t>
      </w:r>
    </w:p>
    <w:p>
      <w:pPr>
        <w:pStyle w:val="Referenceitem"/>
      </w:pPr>
      <w:r>
        <w:t>[3] KIM H J, KIM D, TAK H, et al. Global-local attention-enabled multiple decoder Transformer for multi-energy load forecasting in user-level integrated energy system[J]. Applied Energy, 2025, 396: 126255. DOI: 10.1016/j.apenergy.2025.126255.</w:t>
      </w:r>
    </w:p>
    <w:p>
      <w:pPr>
        <w:pStyle w:val="Referenceitem"/>
      </w:pPr>
      <w:r>
        <w:t>[4] GU Z, SHEN Y, WANG Z, et al. Load forecasting model considering dynamic coupling relationships using structured dynamic-inner latent variables and broad learning system[J]. Engineering Applications of Artificial Intelligence, 2024, 133: 108180. DOI: 10.1016/j.engappai.2024.108180.</w:t>
      </w:r>
    </w:p>
    <w:p>
      <w:pPr>
        <w:pStyle w:val="Referenceitem"/>
      </w:pPr>
      <w:r>
        <w:t>[5] HUANG N, REN S, LIU J, et al. Multi-task learning and single-task learning joint multi-energy load forecasting of integrated energy systems considering meteorological variations[J]. Expert Systems with Applications, 2025, 288: 128269. DOI: 10.1016/j.eswa.2025.128269.</w:t>
      </w:r>
    </w:p>
    <w:p>
      <w:pPr>
        <w:pStyle w:val="Referenceitem"/>
      </w:pPr>
      <w:r>
        <w:t>[6] SONG C, YANG H, CAI J, et al. Multi-energy load forecasting via hierarchical multi-task learning and spatiotemporal attention[J]. Applied Energy, 2024, 373: 123788. DOI: 10.1016/j.apenergy.2024.123788.</w:t>
      </w:r>
    </w:p>
    <w:p>
      <w:pPr>
        <w:pStyle w:val="Referenceitem"/>
      </w:pPr>
      <w:r>
        <w:t>[7] ZENG X, JI G, ZHOU Y, et al. Multi-load forecasting for integrated energy systems based on GAT-MTL[J]. The Journal of Engineering, 2025, 2025(1): e70050. DOI: 10.1049/tje2.70050.</w:t>
      </w:r>
    </w:p>
    <w:p>
      <w:pPr>
        <w:pStyle w:val="Referenceitem"/>
      </w:pPr>
      <w:r>
        <w:t>[8] LIU Y, HU T, ZHANG H, et al. iTransformer: Inverted Transformers Are Effective for Time Series Forecasting[C/OL]//The Twelfth International Conference on Learning Representations. 2024. Available: https://proceedings.iclr.cc/paper_files/paper/2024/hash/2ea18fdc667e0ef2ad82b2b4d65147ad-Abstract-Conference.html.</w:t>
      </w:r>
    </w:p>
    <w:p>
      <w:pPr>
        <w:pStyle w:val="Referenceitem"/>
      </w:pPr>
      <w:r>
        <w:t>[9] ZHAO L, SHEN Y. Rethinking Channel Dependence for Multivariate Time Series Forecasting: Learning from Leading Indicators[C/OL]//The Twelfth International Conference on Learning Representations. 2024. Available: https://proceedings.iclr.cc/paper_files/paper/2024/hash/b52b07a239a7afa155ca25cf17a55074-Abstract-Conference.html.</w:t>
      </w:r>
    </w:p>
    <w:p>
      <w:pPr>
        <w:pStyle w:val="Referenceitem"/>
      </w:pPr>
      <w:r>
        <w:t>[10] HAN L, CHEN X Y, YE H J, et al. SOFTS: Efficient Multivariate Time Series Forecasting with Series-Core Fusion[C/OL]//Advances in Neural Information Processing Systems 37. 2024: 64145-64175. Available: https://proceedings.neurips.cc/paper_files/paper/2024/hash/754612bde73a8b65ad8743f1f6d8ddf6-Abstract-Conference.html.</w:t>
      </w:r>
    </w:p>
    <w:p>
      <w:pPr>
        <w:pStyle w:val="Referenceitem"/>
      </w:pPr>
      <w:r>
        <w:t>[11] WANG C, WANG Y, ZIO E, et al. Short-term load forecasting method for integrated energy systems based on graph neural network and multi-task balance[J]. International Journal of Electrical Power &amp; Energy Systems, 2025, 172: 111195. DOI: 10.1016/j.ijepes.2025.111195.</w:t>
      </w:r>
    </w:p>
    <w:p>
      <w:pPr>
        <w:pStyle w:val="Referenceitem"/>
      </w:pPr>
      <w:r>
        <w:t>[12] SHAO Y, JI M, JIANG C, et al. A Frequency-enhanced Multi-task Mixture-of-Experts Network for Multi-energy Load Forecasting under Small-sample Scenarios[C]//2025 10th International Conference on Power and Renewable Energy. Piscataway: IEEE, 2025: 752-758. DOI: 10.1109/ICPRE67300.2025.11274001.</w:t>
      </w:r>
    </w:p>
    <w:p>
      <w:pPr>
        <w:pStyle w:val="Referenceitem"/>
      </w:pPr>
      <w:r>
        <w:t>[13] BAN H, JI K. Fair Resource Allocation in Multi-Task Learning[C/OL]//Proceedings of the 41st International Conference on Machine Learning. PMLR, 2024, 235: 2715-2731. Available: https://proceedings.mlr.press/v235/ban24a.html.</w:t>
      </w:r>
    </w:p>
    <w:p>
      <w:pPr>
        <w:pStyle w:val="Referenceitem"/>
      </w:pPr>
      <w:r>
        <w:t>[14] NOCHUMSOHN L, ZISLING H, AZENCOT O. A Multi-Task Learning Approach to Linear Multivariate Forecasting[C/OL]//Proceedings of the 28th International Conference on Artificial Intelligence and Statistics. PMLR, 2025, 258: 2638-2646. Available: https://proceedings.mlr.press/v258/nochumsohn25a.html.</w:t>
      </w:r>
    </w:p>
    <w:p>
      <w:pPr>
        <w:pStyle w:val="Referenceitem"/>
      </w:pPr>
      <w:r>
        <w:t>[15] LIAO W, JIN X, RAN Y, et al. A twenty-year dataset of hourly energy generation and consumption from district campus building energy systems[J]. Scientific Data, 2024, 11: 1400. DOI: 10.1038/s41597-024-04244-6. Dataset DOI: 10.6084/m9.figshare.24978645.</w:t>
      </w:r>
    </w:p>
    <w:sectPr w:rsidR="004E7300">
      <w:type w:val="continuous"/>
      <w:pgSz w:w="11906" w:h="16838"/>
      <w:pgMar w:top="1440" w:right="1195" w:bottom="1440" w:left="1195" w:header="0" w:footer="720" w:gutter="0"/>
      <w:cols w:space="425"/>
      <w:formProt w:val="0"/>
      <w:titlePg/>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32634" w14:textId="77777777" w:rsidR="007362C1" w:rsidRDefault="007362C1">
      <w:pPr>
        <w:spacing w:line="240" w:lineRule="auto"/>
      </w:pPr>
      <w:r>
        <w:separator/>
      </w:r>
    </w:p>
  </w:endnote>
  <w:endnote w:type="continuationSeparator" w:id="0">
    <w:p w14:paraId="1497FA0D" w14:textId="77777777" w:rsidR="007362C1" w:rsidRDefault="007362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w:altName w:val="Lucida Sans Unicode"/>
    <w:panose1 w:val="020B0602030504020204"/>
    <w:charset w:val="00"/>
    <w:family w:val="swiss"/>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Helvetica Neue LT Std">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NimbusRomNo9L-Regu">
    <w:altName w:val="Segoe Print"/>
    <w:charset w:val="00"/>
    <w:family w:val="roman"/>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Segoe Print"/>
    <w:charset w:val="00"/>
    <w:family w:val="swiss"/>
    <w:pitch w:val="default"/>
    <w:sig w:usb0="00000000" w:usb1="00000000" w:usb2="00000021" w:usb3="00000000" w:csb0="000001B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ion Pro">
    <w:altName w:val="Cambria"/>
    <w:charset w:val="00"/>
    <w:family w:val="roman"/>
    <w:pitch w:val="default"/>
    <w:sig w:usb0="00000000" w:usb1="00000000"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FE956" w14:textId="77777777" w:rsidR="008860D6" w:rsidRDefault="008860D6">
    <w:pPr>
      <w:pStyle w:val="aa"/>
      <w:ind w:right="179"/>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A450E" w14:textId="77777777" w:rsidR="008860D6" w:rsidRDefault="008860D6">
    <w:pPr>
      <w:pStyle w:val="aa"/>
      <w:ind w:right="180"/>
      <w:jc w:val="right"/>
      <w:rPr>
        <w:lang w:val="fr-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65BB6" w14:textId="77777777" w:rsidR="007362C1" w:rsidRDefault="007362C1">
      <w:pPr>
        <w:spacing w:after="0"/>
      </w:pPr>
      <w:r>
        <w:separator/>
      </w:r>
    </w:p>
  </w:footnote>
  <w:footnote w:type="continuationSeparator" w:id="0">
    <w:p w14:paraId="71B52E10" w14:textId="77777777" w:rsidR="007362C1" w:rsidRDefault="007362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08310" w14:textId="77777777" w:rsidR="008860D6" w:rsidRDefault="00000000">
    <w:pPr>
      <w:tabs>
        <w:tab w:val="right" w:pos="8844"/>
      </w:tabs>
      <w:snapToGrid w:val="0"/>
      <w:spacing w:after="240" w:line="240" w:lineRule="auto"/>
      <w:rPr>
        <w:rFonts w:ascii="Palatino Linotype" w:eastAsia="Times New Roman" w:hAnsi="Palatino Linotype"/>
        <w:color w:val="000000"/>
        <w:sz w:val="16"/>
        <w:szCs w:val="20"/>
        <w:lang w:eastAsia="de-DE"/>
      </w:rPr>
    </w:pPr>
    <w:r>
      <w:rPr>
        <w:rFonts w:ascii="Palatino Linotype" w:eastAsia="Times New Roman" w:hAnsi="Palatino Linotype"/>
        <w:color w:val="000000"/>
        <w:sz w:val="16"/>
        <w:szCs w:val="20"/>
        <w:lang w:eastAsia="de-D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5EB6C" w14:textId="77777777" w:rsidR="008860D6" w:rsidRDefault="008860D6">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30147"/>
    <w:multiLevelType w:val="singleLevel"/>
    <w:tmpl w:val="16430147"/>
    <w:lvl w:ilvl="0">
      <w:start w:val="5"/>
      <w:numFmt w:val="decimal"/>
      <w:suff w:val="space"/>
      <w:lvlText w:val="%1."/>
      <w:lvlJc w:val="left"/>
    </w:lvl>
  </w:abstractNum>
  <w:num w:numId="1" w16cid:durableId="366102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mFkMDcyMjZjYTNkODY3YTgyY2RkNTllZGIxYWJiYTcifQ=="/>
  </w:docVars>
  <w:rsids>
    <w:rsidRoot w:val="00895AC3"/>
    <w:rsid w:val="00001865"/>
    <w:rsid w:val="00016808"/>
    <w:rsid w:val="000265C1"/>
    <w:rsid w:val="000352DA"/>
    <w:rsid w:val="00070F50"/>
    <w:rsid w:val="00072966"/>
    <w:rsid w:val="000735E7"/>
    <w:rsid w:val="0007744A"/>
    <w:rsid w:val="00085F5D"/>
    <w:rsid w:val="0008740F"/>
    <w:rsid w:val="000B3E57"/>
    <w:rsid w:val="00165205"/>
    <w:rsid w:val="001978AD"/>
    <w:rsid w:val="001B047C"/>
    <w:rsid w:val="001C1EEF"/>
    <w:rsid w:val="001D4FA2"/>
    <w:rsid w:val="002002CE"/>
    <w:rsid w:val="00286BD0"/>
    <w:rsid w:val="002A6495"/>
    <w:rsid w:val="002F6ECD"/>
    <w:rsid w:val="00303FEA"/>
    <w:rsid w:val="0031671E"/>
    <w:rsid w:val="003D0720"/>
    <w:rsid w:val="00401EDA"/>
    <w:rsid w:val="00462DD7"/>
    <w:rsid w:val="004A31D0"/>
    <w:rsid w:val="004C00DA"/>
    <w:rsid w:val="004E7300"/>
    <w:rsid w:val="00524FEC"/>
    <w:rsid w:val="00563E29"/>
    <w:rsid w:val="005A169B"/>
    <w:rsid w:val="00605BC3"/>
    <w:rsid w:val="00656A53"/>
    <w:rsid w:val="00666C21"/>
    <w:rsid w:val="0066782E"/>
    <w:rsid w:val="006B3258"/>
    <w:rsid w:val="00710B59"/>
    <w:rsid w:val="0073045C"/>
    <w:rsid w:val="007362C1"/>
    <w:rsid w:val="00736833"/>
    <w:rsid w:val="007525B0"/>
    <w:rsid w:val="007A76F7"/>
    <w:rsid w:val="007D363B"/>
    <w:rsid w:val="007D543F"/>
    <w:rsid w:val="0081259C"/>
    <w:rsid w:val="00820693"/>
    <w:rsid w:val="00832C3B"/>
    <w:rsid w:val="0086534A"/>
    <w:rsid w:val="00882DA6"/>
    <w:rsid w:val="00884B95"/>
    <w:rsid w:val="008860D6"/>
    <w:rsid w:val="00895AC3"/>
    <w:rsid w:val="008F2451"/>
    <w:rsid w:val="008F54A1"/>
    <w:rsid w:val="00972C60"/>
    <w:rsid w:val="00981FA6"/>
    <w:rsid w:val="009B2913"/>
    <w:rsid w:val="009C2FB7"/>
    <w:rsid w:val="009F2E91"/>
    <w:rsid w:val="00A04F21"/>
    <w:rsid w:val="00A407CC"/>
    <w:rsid w:val="00A465B9"/>
    <w:rsid w:val="00A63DD1"/>
    <w:rsid w:val="00A93C5F"/>
    <w:rsid w:val="00AB334D"/>
    <w:rsid w:val="00AC1CE8"/>
    <w:rsid w:val="00AF1D6D"/>
    <w:rsid w:val="00B63DD1"/>
    <w:rsid w:val="00B90735"/>
    <w:rsid w:val="00BD5AEC"/>
    <w:rsid w:val="00C1202C"/>
    <w:rsid w:val="00C37288"/>
    <w:rsid w:val="00CB7388"/>
    <w:rsid w:val="00CF49FC"/>
    <w:rsid w:val="00D31BB3"/>
    <w:rsid w:val="00D32AF3"/>
    <w:rsid w:val="00D44DAE"/>
    <w:rsid w:val="00D534E8"/>
    <w:rsid w:val="00D5501B"/>
    <w:rsid w:val="00D92D6B"/>
    <w:rsid w:val="00D93582"/>
    <w:rsid w:val="00DA5311"/>
    <w:rsid w:val="00DC524A"/>
    <w:rsid w:val="00DE659A"/>
    <w:rsid w:val="00DE66A0"/>
    <w:rsid w:val="00E0600A"/>
    <w:rsid w:val="00E41F39"/>
    <w:rsid w:val="00E74E3C"/>
    <w:rsid w:val="00EA009B"/>
    <w:rsid w:val="00EA228A"/>
    <w:rsid w:val="00EA433D"/>
    <w:rsid w:val="00EE0B15"/>
    <w:rsid w:val="00F17C91"/>
    <w:rsid w:val="00F63620"/>
    <w:rsid w:val="00F64AD2"/>
    <w:rsid w:val="00F80543"/>
    <w:rsid w:val="00F95FED"/>
    <w:rsid w:val="00FB4F50"/>
    <w:rsid w:val="00FD37C7"/>
    <w:rsid w:val="00FF0B55"/>
    <w:rsid w:val="0905393B"/>
    <w:rsid w:val="22324D1B"/>
    <w:rsid w:val="494003EB"/>
    <w:rsid w:val="537522DF"/>
    <w:rsid w:val="70071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141AA"/>
  <w15:docId w15:val="{07372ED5-3338-45B1-A341-74529F19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等线"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imes New Roman" w:hAnsi="Times New Roman"/>
      <w:sz w:val="22"/>
      <w:szCs w:val="22"/>
      <w:lang w:eastAsia="en-US"/>
    </w:rPr>
  </w:style>
  <w:style w:type="paragraph" w:styleId="1">
    <w:name w:val="heading 1"/>
    <w:basedOn w:val="2"/>
    <w:next w:val="a0"/>
    <w:link w:val="10"/>
    <w:qFormat/>
    <w:pPr>
      <w:spacing w:before="360" w:after="0" w:line="240" w:lineRule="auto"/>
      <w:outlineLvl w:val="0"/>
    </w:pPr>
    <w:rPr>
      <w:rFonts w:ascii="Times New Roman" w:hAnsi="Times New Roman"/>
      <w:i w:val="0"/>
      <w:sz w:val="24"/>
      <w:szCs w:val="18"/>
    </w:rPr>
  </w:style>
  <w:style w:type="paragraph" w:styleId="2">
    <w:name w:val="heading 2"/>
    <w:basedOn w:val="a"/>
    <w:next w:val="a"/>
    <w:link w:val="20"/>
    <w:uiPriority w:val="9"/>
    <w:semiHidden/>
    <w:unhideWhenUsed/>
    <w:qFormat/>
    <w:pPr>
      <w:keepNext/>
      <w:spacing w:before="240" w:after="60"/>
      <w:outlineLvl w:val="1"/>
    </w:pPr>
    <w:rPr>
      <w:rFonts w:ascii="Calibri Light" w:eastAsia="Times New Roman" w:hAnsi="Calibri Light"/>
      <w:b/>
      <w:bCs/>
      <w:i/>
      <w:i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after="140" w:line="288" w:lineRule="auto"/>
    </w:pPr>
  </w:style>
  <w:style w:type="paragraph" w:styleId="a5">
    <w:name w:val="caption"/>
    <w:basedOn w:val="a"/>
    <w:next w:val="a"/>
    <w:qFormat/>
    <w:pPr>
      <w:suppressLineNumbers/>
      <w:spacing w:before="120" w:after="120"/>
    </w:pPr>
    <w:rPr>
      <w:rFonts w:cs="Lucida Sans"/>
      <w:i/>
      <w:iCs/>
      <w:sz w:val="24"/>
      <w:szCs w:val="24"/>
    </w:rPr>
  </w:style>
  <w:style w:type="paragraph" w:styleId="a6">
    <w:name w:val="annotation text"/>
    <w:basedOn w:val="a"/>
    <w:link w:val="a7"/>
    <w:uiPriority w:val="99"/>
    <w:semiHidden/>
    <w:unhideWhenUsed/>
    <w:qFormat/>
    <w:pPr>
      <w:spacing w:after="120" w:line="228" w:lineRule="auto"/>
      <w:ind w:firstLine="289"/>
    </w:pPr>
    <w:rPr>
      <w:rFonts w:eastAsia="宋体"/>
      <w:spacing w:val="-1"/>
      <w:sz w:val="20"/>
      <w:szCs w:val="24"/>
      <w:lang w:eastAsia="zh-CN"/>
    </w:rPr>
  </w:style>
  <w:style w:type="paragraph" w:styleId="a8">
    <w:name w:val="Balloon Text"/>
    <w:basedOn w:val="a"/>
    <w:link w:val="a9"/>
    <w:uiPriority w:val="99"/>
    <w:semiHidden/>
    <w:unhideWhenUsed/>
    <w:qFormat/>
    <w:pPr>
      <w:spacing w:after="120" w:line="228" w:lineRule="auto"/>
      <w:ind w:firstLine="289"/>
      <w:jc w:val="both"/>
    </w:pPr>
    <w:rPr>
      <w:rFonts w:eastAsia="宋体"/>
      <w:spacing w:val="-1"/>
      <w:sz w:val="18"/>
      <w:szCs w:val="18"/>
      <w:lang w:eastAsia="zh-CN"/>
    </w:rPr>
  </w:style>
  <w:style w:type="paragraph" w:styleId="aa">
    <w:name w:val="footer"/>
    <w:basedOn w:val="a"/>
    <w:link w:val="ab"/>
    <w:uiPriority w:val="99"/>
    <w:unhideWhenUsed/>
    <w:qFormat/>
    <w:pPr>
      <w:tabs>
        <w:tab w:val="center" w:pos="4153"/>
        <w:tab w:val="right" w:pos="8306"/>
      </w:tabs>
      <w:snapToGrid w:val="0"/>
      <w:spacing w:after="120" w:line="228" w:lineRule="auto"/>
      <w:ind w:firstLine="289"/>
    </w:pPr>
    <w:rPr>
      <w:rFonts w:eastAsia="宋体"/>
      <w:spacing w:val="-1"/>
      <w:sz w:val="18"/>
      <w:szCs w:val="18"/>
      <w:lang w:eastAsia="zh-CN"/>
    </w:rPr>
  </w:style>
  <w:style w:type="paragraph" w:styleId="ac">
    <w:name w:val="header"/>
    <w:basedOn w:val="a"/>
    <w:link w:val="ad"/>
    <w:uiPriority w:val="99"/>
    <w:unhideWhenUsed/>
    <w:qFormat/>
    <w:pPr>
      <w:pBdr>
        <w:bottom w:val="single" w:sz="6" w:space="1" w:color="00000A"/>
      </w:pBdr>
      <w:tabs>
        <w:tab w:val="center" w:pos="4153"/>
        <w:tab w:val="right" w:pos="8306"/>
      </w:tabs>
      <w:snapToGrid w:val="0"/>
      <w:spacing w:after="120" w:line="228" w:lineRule="auto"/>
      <w:ind w:firstLine="289"/>
      <w:jc w:val="center"/>
    </w:pPr>
    <w:rPr>
      <w:rFonts w:eastAsia="宋体"/>
      <w:spacing w:val="-1"/>
      <w:sz w:val="18"/>
      <w:szCs w:val="18"/>
      <w:lang w:eastAsia="zh-CN"/>
    </w:rPr>
  </w:style>
  <w:style w:type="paragraph" w:styleId="ae">
    <w:name w:val="List"/>
    <w:basedOn w:val="a0"/>
    <w:qFormat/>
    <w:rPr>
      <w:rFonts w:cs="Lucida Sans"/>
    </w:rPr>
  </w:style>
  <w:style w:type="paragraph" w:styleId="af">
    <w:name w:val="annotation subject"/>
    <w:basedOn w:val="a6"/>
    <w:next w:val="a6"/>
    <w:link w:val="af0"/>
    <w:uiPriority w:val="99"/>
    <w:semiHidden/>
    <w:unhideWhenUsed/>
    <w:qFormat/>
    <w:rPr>
      <w:b/>
      <w:bCs/>
    </w:rPr>
  </w:style>
  <w:style w:type="table" w:styleId="af1">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List Accent 1"/>
    <w:basedOn w:val="a2"/>
    <w:uiPriority w:val="61"/>
    <w:qFormat/>
    <w:rPr>
      <w:rFonts w:eastAsia="Calibri"/>
      <w:sz w:val="22"/>
      <w:szCs w:val="22"/>
      <w:lang w:val="en-IN"/>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styleId="af2">
    <w:name w:val="Hyperlink"/>
    <w:uiPriority w:val="99"/>
    <w:unhideWhenUsed/>
    <w:qFormat/>
    <w:rPr>
      <w:color w:val="0563C1"/>
      <w:u w:val="single"/>
    </w:rPr>
  </w:style>
  <w:style w:type="paragraph" w:customStyle="1" w:styleId="Head1">
    <w:name w:val="Head 1"/>
    <w:basedOn w:val="a"/>
    <w:next w:val="a"/>
    <w:link w:val="Head1Char"/>
    <w:qFormat/>
    <w:pPr>
      <w:spacing w:before="240" w:after="180" w:line="241" w:lineRule="atLeast"/>
    </w:pPr>
    <w:rPr>
      <w:rFonts w:cs="Helvetica Neue LT Std"/>
      <w:b/>
      <w:bCs/>
      <w:caps/>
      <w:color w:val="000000"/>
      <w:sz w:val="23"/>
      <w:szCs w:val="23"/>
      <w:lang w:val="en-IN" w:eastAsia="en-IN"/>
    </w:rPr>
  </w:style>
  <w:style w:type="paragraph" w:customStyle="1" w:styleId="Head2">
    <w:name w:val="Head 2"/>
    <w:basedOn w:val="a"/>
    <w:next w:val="a"/>
    <w:link w:val="Head2Char"/>
    <w:qFormat/>
    <w:pPr>
      <w:spacing w:before="240" w:after="180" w:line="241" w:lineRule="atLeast"/>
      <w:outlineLvl w:val="0"/>
    </w:pPr>
    <w:rPr>
      <w:rFonts w:cs="Helvetica Neue LT Std"/>
      <w:b/>
      <w:bCs/>
      <w:i/>
      <w:color w:val="000000"/>
      <w:sz w:val="23"/>
      <w:szCs w:val="23"/>
      <w:lang w:val="en-IN" w:eastAsia="en-IN"/>
    </w:rPr>
  </w:style>
  <w:style w:type="paragraph" w:customStyle="1" w:styleId="Head3">
    <w:name w:val="Head 3"/>
    <w:basedOn w:val="Head2"/>
    <w:next w:val="a"/>
    <w:link w:val="Head3Char"/>
    <w:qFormat/>
    <w:pPr>
      <w:spacing w:line="240" w:lineRule="auto"/>
    </w:pPr>
    <w:rPr>
      <w:b w:val="0"/>
    </w:rPr>
  </w:style>
  <w:style w:type="paragraph" w:customStyle="1" w:styleId="Head4">
    <w:name w:val="Head 4"/>
    <w:basedOn w:val="Head3"/>
    <w:next w:val="a"/>
    <w:link w:val="Head4Char"/>
    <w:qFormat/>
    <w:rPr>
      <w:sz w:val="21"/>
      <w:u w:val="single"/>
    </w:rPr>
  </w:style>
  <w:style w:type="paragraph" w:customStyle="1" w:styleId="Heading51">
    <w:name w:val="Heading 51"/>
    <w:basedOn w:val="Head4"/>
    <w:qFormat/>
    <w:rPr>
      <w:i w:val="0"/>
    </w:rPr>
  </w:style>
  <w:style w:type="character" w:customStyle="1" w:styleId="Head1Char">
    <w:name w:val="Head 1 Char"/>
    <w:link w:val="Head1"/>
    <w:qFormat/>
    <w:rPr>
      <w:rFonts w:ascii="Times New Roman" w:hAnsi="Times New Roman" w:cs="Helvetica Neue LT Std"/>
      <w:b/>
      <w:bCs/>
      <w:caps/>
      <w:color w:val="000000"/>
      <w:sz w:val="23"/>
      <w:szCs w:val="23"/>
      <w:lang w:val="en-IN" w:eastAsia="en-IN"/>
    </w:rPr>
  </w:style>
  <w:style w:type="character" w:customStyle="1" w:styleId="Head2Char">
    <w:name w:val="Head 2 Char"/>
    <w:link w:val="Head2"/>
    <w:qFormat/>
    <w:rPr>
      <w:rFonts w:ascii="Times New Roman" w:hAnsi="Times New Roman" w:cs="Helvetica Neue LT Std"/>
      <w:b/>
      <w:bCs/>
      <w:i/>
      <w:color w:val="000000"/>
      <w:sz w:val="23"/>
      <w:szCs w:val="23"/>
      <w:lang w:val="en-IN" w:eastAsia="en-IN"/>
    </w:rPr>
  </w:style>
  <w:style w:type="character" w:customStyle="1" w:styleId="Head3Char">
    <w:name w:val="Head 3 Char"/>
    <w:link w:val="Head3"/>
    <w:qFormat/>
    <w:rPr>
      <w:rFonts w:ascii="Times New Roman" w:hAnsi="Times New Roman" w:cs="Helvetica Neue LT Std"/>
      <w:bCs/>
      <w:i/>
      <w:color w:val="000000"/>
      <w:sz w:val="23"/>
      <w:szCs w:val="23"/>
    </w:rPr>
  </w:style>
  <w:style w:type="character" w:customStyle="1" w:styleId="Head4Char">
    <w:name w:val="Head 4 Char"/>
    <w:link w:val="Head4"/>
    <w:uiPriority w:val="9"/>
    <w:semiHidden/>
    <w:qFormat/>
    <w:rPr>
      <w:rFonts w:ascii="Cambria" w:eastAsia="宋体" w:hAnsi="Cambria"/>
      <w:b/>
      <w:bCs/>
      <w:spacing w:val="-1"/>
      <w:sz w:val="28"/>
      <w:szCs w:val="28"/>
      <w:lang w:val="en-US" w:eastAsia="zh-CN"/>
    </w:rPr>
  </w:style>
  <w:style w:type="character" w:customStyle="1" w:styleId="ad">
    <w:name w:val="页眉 字符"/>
    <w:link w:val="ac"/>
    <w:uiPriority w:val="99"/>
    <w:qFormat/>
    <w:rPr>
      <w:rFonts w:ascii="Times New Roman" w:eastAsia="宋体" w:hAnsi="Times New Roman"/>
      <w:spacing w:val="-1"/>
      <w:sz w:val="18"/>
      <w:szCs w:val="18"/>
      <w:lang w:val="en-US" w:eastAsia="zh-CN"/>
    </w:rPr>
  </w:style>
  <w:style w:type="character" w:customStyle="1" w:styleId="ab">
    <w:name w:val="页脚 字符"/>
    <w:link w:val="aa"/>
    <w:uiPriority w:val="99"/>
    <w:qFormat/>
    <w:rPr>
      <w:rFonts w:ascii="Times New Roman" w:eastAsia="宋体" w:hAnsi="Times New Roman"/>
      <w:spacing w:val="-1"/>
      <w:sz w:val="18"/>
      <w:szCs w:val="18"/>
      <w:lang w:val="en-US" w:eastAsia="zh-CN"/>
    </w:rPr>
  </w:style>
  <w:style w:type="character" w:customStyle="1" w:styleId="a9">
    <w:name w:val="批注框文本 字符"/>
    <w:link w:val="a8"/>
    <w:uiPriority w:val="99"/>
    <w:semiHidden/>
    <w:qFormat/>
    <w:rPr>
      <w:rFonts w:ascii="Times New Roman" w:eastAsia="宋体" w:hAnsi="Times New Roman"/>
      <w:spacing w:val="-1"/>
      <w:sz w:val="18"/>
      <w:szCs w:val="18"/>
      <w:lang w:val="en-US" w:eastAsia="zh-CN"/>
    </w:rPr>
  </w:style>
  <w:style w:type="character" w:customStyle="1" w:styleId="InternetLink">
    <w:name w:val="Internet Link"/>
    <w:uiPriority w:val="99"/>
    <w:unhideWhenUsed/>
    <w:qFormat/>
    <w:rPr>
      <w:color w:val="0000FF"/>
      <w:u w:val="single"/>
    </w:rPr>
  </w:style>
  <w:style w:type="character" w:customStyle="1" w:styleId="a7">
    <w:name w:val="批注文字 字符"/>
    <w:link w:val="a6"/>
    <w:uiPriority w:val="99"/>
    <w:semiHidden/>
    <w:qFormat/>
    <w:rPr>
      <w:rFonts w:ascii="Times New Roman" w:eastAsia="宋体" w:hAnsi="Times New Roman"/>
      <w:spacing w:val="-1"/>
      <w:szCs w:val="24"/>
      <w:lang w:val="en-US" w:eastAsia="zh-CN"/>
    </w:rPr>
  </w:style>
  <w:style w:type="character" w:customStyle="1" w:styleId="af0">
    <w:name w:val="批注主题 字符"/>
    <w:link w:val="af"/>
    <w:uiPriority w:val="99"/>
    <w:semiHidden/>
    <w:qFormat/>
    <w:rPr>
      <w:rFonts w:ascii="Times New Roman" w:eastAsia="宋体" w:hAnsi="Times New Roman"/>
      <w:b/>
      <w:bCs/>
      <w:spacing w:val="-1"/>
      <w:szCs w:val="24"/>
      <w:lang w:val="en-US" w:eastAsia="zh-CN"/>
    </w:rPr>
  </w:style>
  <w:style w:type="character" w:customStyle="1" w:styleId="fontstyle01">
    <w:name w:val="fontstyle01"/>
    <w:qFormat/>
    <w:rPr>
      <w:rFonts w:ascii="NimbusRomNo9L-Regu" w:hAnsi="NimbusRomNo9L-Regu"/>
      <w:color w:val="000000"/>
      <w:sz w:val="20"/>
      <w:szCs w:val="20"/>
    </w:rPr>
  </w:style>
  <w:style w:type="character" w:customStyle="1" w:styleId="ReferencesChar">
    <w:name w:val="References Char"/>
    <w:link w:val="References"/>
    <w:qFormat/>
    <w:rPr>
      <w:rFonts w:ascii="Times New Roman" w:eastAsia="宋体" w:hAnsi="Times New Roman"/>
      <w:color w:val="993366"/>
      <w:sz w:val="24"/>
      <w:szCs w:val="18"/>
      <w:lang w:val="en-US" w:eastAsia="zh-CN"/>
    </w:rPr>
  </w:style>
  <w:style w:type="paragraph" w:customStyle="1" w:styleId="References">
    <w:name w:val="References"/>
    <w:basedOn w:val="a"/>
    <w:link w:val="ReferencesChar"/>
    <w:qFormat/>
    <w:pPr>
      <w:spacing w:after="0" w:line="240" w:lineRule="auto"/>
    </w:pPr>
    <w:rPr>
      <w:rFonts w:eastAsia="宋体"/>
      <w:color w:val="993366"/>
      <w:sz w:val="24"/>
      <w:szCs w:val="18"/>
      <w:lang w:eastAsia="zh-CN"/>
    </w:rPr>
  </w:style>
  <w:style w:type="character" w:customStyle="1" w:styleId="MTConvertedEquation">
    <w:name w:val="MTConvertedEquation"/>
    <w:qFormat/>
    <w:rPr>
      <w:sz w:val="24"/>
    </w:rPr>
  </w:style>
  <w:style w:type="character" w:customStyle="1" w:styleId="MTDisplayEquationChar">
    <w:name w:val="MTDisplayEquation Char"/>
    <w:link w:val="MTDisplayEquation"/>
    <w:qFormat/>
    <w:rPr>
      <w:rFonts w:ascii="Times New Roman" w:eastAsia="宋体" w:hAnsi="Times New Roman"/>
      <w:spacing w:val="-1"/>
      <w:szCs w:val="24"/>
      <w:lang w:val="en-US" w:eastAsia="zh-CN"/>
    </w:rPr>
  </w:style>
  <w:style w:type="paragraph" w:customStyle="1" w:styleId="MTDisplayEquation">
    <w:name w:val="MTDisplayEquation"/>
    <w:basedOn w:val="a"/>
    <w:next w:val="a"/>
    <w:link w:val="MTDisplayEquationChar"/>
    <w:qFormat/>
    <w:pPr>
      <w:tabs>
        <w:tab w:val="right" w:pos="0"/>
      </w:tabs>
      <w:spacing w:after="120" w:line="228" w:lineRule="auto"/>
      <w:ind w:firstLine="289"/>
      <w:jc w:val="both"/>
    </w:pPr>
    <w:rPr>
      <w:rFonts w:eastAsia="宋体"/>
      <w:spacing w:val="-1"/>
      <w:sz w:val="20"/>
      <w:szCs w:val="24"/>
      <w:lang w:eastAsia="zh-CN"/>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sz w:val="16"/>
      <w:szCs w:val="16"/>
    </w:rPr>
  </w:style>
  <w:style w:type="character" w:customStyle="1" w:styleId="ListLabel5">
    <w:name w:val="ListLabel 5"/>
    <w:qFormat/>
  </w:style>
  <w:style w:type="character" w:customStyle="1" w:styleId="ListLabel6">
    <w:name w:val="ListLabel 6"/>
    <w:qFormat/>
    <w:rPr>
      <w:rFonts w:eastAsia="宋体" w:cs="Times New Roman"/>
      <w:b/>
    </w:rPr>
  </w:style>
  <w:style w:type="character" w:customStyle="1" w:styleId="ListLabel7">
    <w:name w:val="ListLabel 7"/>
    <w:qFormat/>
    <w:rPr>
      <w:rFonts w:eastAsia="Times New Roman" w:cs="Times New Roman"/>
    </w:rPr>
  </w:style>
  <w:style w:type="character" w:customStyle="1" w:styleId="ListLabel8">
    <w:name w:val="ListLabel 8"/>
    <w:qFormat/>
    <w:rPr>
      <w:rFonts w:cs="Symbol"/>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paragraph" w:customStyle="1" w:styleId="Heading">
    <w:name w:val="Heading"/>
    <w:basedOn w:val="a"/>
    <w:next w:val="a0"/>
    <w:qFormat/>
    <w:pPr>
      <w:keepNext/>
      <w:spacing w:before="240" w:after="120"/>
    </w:pPr>
    <w:rPr>
      <w:rFonts w:ascii="Liberation Sans" w:eastAsia="微软雅黑" w:hAnsi="Liberation Sans" w:cs="Lucida Sans"/>
      <w:sz w:val="28"/>
      <w:szCs w:val="28"/>
    </w:rPr>
  </w:style>
  <w:style w:type="paragraph" w:customStyle="1" w:styleId="Index">
    <w:name w:val="Index"/>
    <w:basedOn w:val="a"/>
    <w:qFormat/>
    <w:pPr>
      <w:suppressLineNumbers/>
    </w:pPr>
    <w:rPr>
      <w:rFonts w:cs="Lucida Sans"/>
    </w:rPr>
  </w:style>
  <w:style w:type="paragraph" w:customStyle="1" w:styleId="Default">
    <w:name w:val="Default"/>
    <w:qFormat/>
    <w:rPr>
      <w:rFonts w:ascii="Arial" w:hAnsi="Arial" w:cs="Arial"/>
      <w:color w:val="000000"/>
      <w:sz w:val="24"/>
      <w:szCs w:val="24"/>
      <w:lang w:val="en-IN" w:eastAsia="en-US"/>
    </w:rPr>
  </w:style>
  <w:style w:type="paragraph" w:customStyle="1" w:styleId="Article-Title">
    <w:name w:val="Article-Title"/>
    <w:basedOn w:val="Default"/>
    <w:qFormat/>
    <w:pPr>
      <w:spacing w:before="720"/>
      <w:jc w:val="center"/>
    </w:pPr>
    <w:rPr>
      <w:rFonts w:ascii="Times New Roman" w:hAnsi="Times New Roman"/>
      <w:b/>
      <w:bCs/>
      <w:sz w:val="40"/>
      <w:szCs w:val="28"/>
    </w:rPr>
  </w:style>
  <w:style w:type="paragraph" w:customStyle="1" w:styleId="Author-Name">
    <w:name w:val="Author-Name"/>
    <w:basedOn w:val="Default"/>
    <w:qFormat/>
    <w:pPr>
      <w:spacing w:before="120" w:after="120" w:line="360" w:lineRule="auto"/>
      <w:jc w:val="center"/>
    </w:pPr>
    <w:rPr>
      <w:rFonts w:ascii="Times New Roman" w:hAnsi="Times New Roman"/>
      <w:sz w:val="28"/>
    </w:rPr>
  </w:style>
  <w:style w:type="paragraph" w:customStyle="1" w:styleId="Affiliation">
    <w:name w:val="Affiliation"/>
    <w:basedOn w:val="Default"/>
    <w:qFormat/>
    <w:rPr>
      <w:rFonts w:ascii="Times New Roman" w:hAnsi="Times New Roman"/>
      <w:i/>
      <w:sz w:val="20"/>
      <w:szCs w:val="20"/>
    </w:rPr>
  </w:style>
  <w:style w:type="paragraph" w:customStyle="1" w:styleId="Corresponding">
    <w:name w:val="Corresponding"/>
    <w:basedOn w:val="Default"/>
    <w:qFormat/>
    <w:pPr>
      <w:spacing w:after="120" w:line="360" w:lineRule="auto"/>
    </w:pPr>
    <w:rPr>
      <w:rFonts w:ascii="Times New Roman" w:hAnsi="Times New Roman"/>
      <w:i/>
      <w:sz w:val="20"/>
      <w:szCs w:val="20"/>
    </w:rPr>
  </w:style>
  <w:style w:type="paragraph" w:customStyle="1" w:styleId="FootnoteText1">
    <w:name w:val="Footnote Text1"/>
    <w:basedOn w:val="Default"/>
    <w:qFormat/>
    <w:pPr>
      <w:spacing w:before="120" w:after="120"/>
    </w:pPr>
    <w:rPr>
      <w:rFonts w:ascii="Times New Roman" w:hAnsi="Times New Roman" w:cs="Times New Roman"/>
      <w:sz w:val="18"/>
      <w:szCs w:val="23"/>
    </w:rPr>
  </w:style>
  <w:style w:type="paragraph" w:customStyle="1" w:styleId="Abstract">
    <w:name w:val="Abstract"/>
    <w:basedOn w:val="Default"/>
    <w:qFormat/>
    <w:pPr>
      <w:spacing w:line="260" w:lineRule="atLeast"/>
      <w:jc w:val="both"/>
    </w:pPr>
    <w:rPr>
      <w:rFonts w:ascii="Times New Roman" w:hAnsi="Times New Roman" w:cs="Times New Roman"/>
      <w:bCs/>
      <w:sz w:val="20"/>
      <w:szCs w:val="23"/>
    </w:rPr>
  </w:style>
  <w:style w:type="paragraph" w:customStyle="1" w:styleId="Keywords">
    <w:name w:val="Keywords"/>
    <w:basedOn w:val="Default"/>
    <w:qFormat/>
    <w:pPr>
      <w:spacing w:before="240" w:after="440" w:line="260" w:lineRule="atLeast"/>
    </w:pPr>
    <w:rPr>
      <w:rFonts w:ascii="Times New Roman" w:hAnsi="Times New Roman"/>
      <w:i/>
      <w:sz w:val="22"/>
      <w:szCs w:val="22"/>
    </w:rPr>
  </w:style>
  <w:style w:type="paragraph" w:customStyle="1" w:styleId="Para">
    <w:name w:val="Para"/>
    <w:basedOn w:val="a"/>
    <w:qFormat/>
    <w:pPr>
      <w:spacing w:after="120" w:line="240" w:lineRule="atLeast"/>
      <w:ind w:firstLine="288"/>
      <w:jc w:val="both"/>
    </w:pPr>
    <w:rPr>
      <w:rFonts w:cs="Minion Pro"/>
      <w:color w:val="000000"/>
      <w:sz w:val="20"/>
      <w:szCs w:val="19"/>
      <w:lang w:val="en-IN" w:eastAsia="en-IN"/>
    </w:rPr>
  </w:style>
  <w:style w:type="paragraph" w:customStyle="1" w:styleId="ListBullet">
    <w:name w:val="ListBullet"/>
    <w:basedOn w:val="a"/>
    <w:qFormat/>
    <w:rPr>
      <w:rFonts w:cs="Minion Pro"/>
      <w:color w:val="000000"/>
      <w:sz w:val="19"/>
      <w:szCs w:val="19"/>
      <w:lang w:val="en-IN" w:eastAsia="en-IN"/>
    </w:rPr>
  </w:style>
  <w:style w:type="paragraph" w:customStyle="1" w:styleId="ListNumbered">
    <w:name w:val="ListNumbered"/>
    <w:basedOn w:val="ListBullet"/>
    <w:qFormat/>
  </w:style>
  <w:style w:type="paragraph" w:customStyle="1" w:styleId="Tabletitle">
    <w:name w:val="Table title"/>
    <w:basedOn w:val="ListNumbered"/>
    <w:qFormat/>
    <w:rPr>
      <w:sz w:val="20"/>
    </w:rPr>
  </w:style>
  <w:style w:type="paragraph" w:customStyle="1" w:styleId="Tablefoot">
    <w:name w:val="Table foot"/>
    <w:basedOn w:val="Tabletitle"/>
    <w:qFormat/>
    <w:rPr>
      <w:sz w:val="16"/>
    </w:rPr>
  </w:style>
  <w:style w:type="paragraph" w:customStyle="1" w:styleId="Figcaption">
    <w:name w:val="Fig caption"/>
    <w:basedOn w:val="Tabletitle"/>
    <w:qFormat/>
  </w:style>
  <w:style w:type="paragraph" w:customStyle="1" w:styleId="Acknowledgment">
    <w:name w:val="Acknowledgment"/>
    <w:basedOn w:val="Figcaption"/>
    <w:qFormat/>
    <w:pPr>
      <w:spacing w:before="240" w:line="240" w:lineRule="auto"/>
    </w:pPr>
    <w:rPr>
      <w:sz w:val="23"/>
    </w:rPr>
  </w:style>
  <w:style w:type="paragraph" w:customStyle="1" w:styleId="Referencetitle">
    <w:name w:val="Reference title"/>
    <w:basedOn w:val="ListNumbered"/>
    <w:qFormat/>
    <w:pPr>
      <w:spacing w:before="240"/>
    </w:pPr>
    <w:rPr>
      <w:b/>
      <w:sz w:val="23"/>
    </w:rPr>
  </w:style>
  <w:style w:type="paragraph" w:customStyle="1" w:styleId="Referenceitem">
    <w:name w:val="Reference item"/>
    <w:basedOn w:val="Referencetitle"/>
    <w:qFormat/>
    <w:pPr>
      <w:spacing w:before="120" w:after="0"/>
      <w:ind w:left="397" w:hanging="397"/>
      <w:jc w:val="both"/>
    </w:pPr>
    <w:rPr>
      <w:b w:val="0"/>
      <w:sz w:val="20"/>
    </w:rPr>
  </w:style>
  <w:style w:type="paragraph" w:styleId="af3">
    <w:name w:val="List Paragraph"/>
    <w:basedOn w:val="a"/>
    <w:uiPriority w:val="34"/>
    <w:qFormat/>
    <w:pPr>
      <w:spacing w:after="120" w:line="228" w:lineRule="auto"/>
      <w:ind w:firstLine="420"/>
      <w:jc w:val="both"/>
    </w:pPr>
    <w:rPr>
      <w:rFonts w:eastAsia="宋体"/>
      <w:spacing w:val="-1"/>
      <w:sz w:val="20"/>
      <w:szCs w:val="24"/>
      <w:lang w:eastAsia="zh-CN"/>
    </w:rPr>
  </w:style>
  <w:style w:type="paragraph" w:styleId="af4">
    <w:name w:val="No Spacing"/>
    <w:next w:val="a"/>
    <w:uiPriority w:val="1"/>
    <w:qFormat/>
    <w:pPr>
      <w:spacing w:after="120"/>
      <w:ind w:firstLine="272"/>
      <w:jc w:val="both"/>
    </w:pPr>
    <w:rPr>
      <w:rFonts w:ascii="Times New Roman" w:eastAsia="宋体" w:hAnsi="Times New Roman"/>
      <w:b/>
      <w:i/>
      <w:sz w:val="18"/>
      <w:szCs w:val="24"/>
    </w:rPr>
  </w:style>
  <w:style w:type="paragraph" w:customStyle="1" w:styleId="MDPIheaderjournallogo">
    <w:name w:val="MDPI_header_journal_logo"/>
    <w:qFormat/>
    <w:pPr>
      <w:snapToGrid w:val="0"/>
    </w:pPr>
    <w:rPr>
      <w:rFonts w:ascii="Palatino Linotype" w:eastAsia="Times New Roman" w:hAnsi="Palatino Linotype"/>
      <w:i/>
      <w:color w:val="000000"/>
      <w:sz w:val="24"/>
      <w:szCs w:val="22"/>
      <w:lang w:eastAsia="de-CH"/>
    </w:rPr>
  </w:style>
  <w:style w:type="paragraph" w:customStyle="1" w:styleId="MDPI11articletype">
    <w:name w:val="MDPI_1.1_article_type"/>
    <w:basedOn w:val="a"/>
    <w:next w:val="a"/>
    <w:qFormat/>
    <w:pPr>
      <w:snapToGrid w:val="0"/>
      <w:spacing w:before="240" w:after="0" w:line="240" w:lineRule="auto"/>
    </w:pPr>
    <w:rPr>
      <w:rFonts w:ascii="Palatino Linotype" w:eastAsia="Times New Roman" w:hAnsi="Palatino Linotype"/>
      <w:i/>
      <w:color w:val="000000"/>
      <w:sz w:val="20"/>
      <w:lang w:eastAsia="de-DE" w:bidi="en-US"/>
    </w:rPr>
  </w:style>
  <w:style w:type="paragraph" w:customStyle="1" w:styleId="Equation">
    <w:name w:val="Equation"/>
    <w:basedOn w:val="af3"/>
    <w:qFormat/>
    <w:pPr>
      <w:tabs>
        <w:tab w:val="right" w:pos="4536"/>
      </w:tabs>
      <w:spacing w:after="0" w:line="240" w:lineRule="auto"/>
      <w:ind w:firstLine="0"/>
      <w:jc w:val="left"/>
    </w:pPr>
  </w:style>
  <w:style w:type="paragraph" w:customStyle="1" w:styleId="Sub-Title">
    <w:name w:val="Sub-Title"/>
    <w:basedOn w:val="a"/>
    <w:qFormat/>
    <w:pPr>
      <w:jc w:val="center"/>
    </w:pPr>
    <w:rPr>
      <w:b/>
      <w:sz w:val="32"/>
      <w:szCs w:val="32"/>
    </w:rPr>
  </w:style>
  <w:style w:type="paragraph" w:customStyle="1" w:styleId="Figure">
    <w:name w:val="Figure"/>
    <w:basedOn w:val="Para"/>
    <w:qFormat/>
    <w:pPr>
      <w:spacing w:before="240" w:after="240"/>
      <w:jc w:val="center"/>
    </w:pPr>
    <w:rPr>
      <w:lang w:val="en-US" w:eastAsia="en-US"/>
    </w:rPr>
  </w:style>
  <w:style w:type="paragraph" w:customStyle="1" w:styleId="Contribution">
    <w:name w:val="Contribution"/>
    <w:basedOn w:val="Acknowledgment"/>
    <w:qFormat/>
    <w:rPr>
      <w:b/>
    </w:rPr>
  </w:style>
  <w:style w:type="paragraph" w:customStyle="1" w:styleId="BodyText2">
    <w:name w:val="Body Text2"/>
    <w:basedOn w:val="a0"/>
    <w:link w:val="BodyText2Char"/>
    <w:qFormat/>
    <w:pPr>
      <w:widowControl w:val="0"/>
      <w:spacing w:after="120" w:line="240" w:lineRule="auto"/>
      <w:ind w:firstLine="180"/>
    </w:pPr>
    <w:rPr>
      <w:rFonts w:eastAsia="Times New Roman"/>
      <w:sz w:val="20"/>
      <w:szCs w:val="18"/>
    </w:rPr>
  </w:style>
  <w:style w:type="character" w:customStyle="1" w:styleId="BodyText2Char">
    <w:name w:val="Body Text2 Char"/>
    <w:link w:val="BodyText2"/>
    <w:qFormat/>
    <w:rPr>
      <w:rFonts w:ascii="Times New Roman" w:eastAsia="Times New Roman" w:hAnsi="Times New Roman"/>
      <w:szCs w:val="18"/>
    </w:rPr>
  </w:style>
  <w:style w:type="character" w:customStyle="1" w:styleId="10">
    <w:name w:val="标题 1 字符"/>
    <w:link w:val="1"/>
    <w:qFormat/>
    <w:rPr>
      <w:rFonts w:ascii="Times New Roman" w:eastAsia="Times New Roman" w:hAnsi="Times New Roman"/>
      <w:b/>
      <w:bCs/>
      <w:iCs/>
      <w:sz w:val="24"/>
      <w:szCs w:val="18"/>
    </w:rPr>
  </w:style>
  <w:style w:type="character" w:customStyle="1" w:styleId="20">
    <w:name w:val="标题 2 字符"/>
    <w:link w:val="2"/>
    <w:uiPriority w:val="9"/>
    <w:semiHidden/>
    <w:qFormat/>
    <w:rPr>
      <w:rFonts w:ascii="Calibri Light" w:eastAsia="Times New Roman" w:hAnsi="Calibri Light" w:cs="Times New Roman"/>
      <w:b/>
      <w:bCs/>
      <w:i/>
      <w:iCs/>
      <w:sz w:val="28"/>
      <w:szCs w:val="28"/>
    </w:rPr>
  </w:style>
  <w:style w:type="character" w:customStyle="1" w:styleId="a4">
    <w:name w:val="正文文本 字符"/>
    <w:link w:val="a0"/>
    <w:qFormat/>
    <w:rPr>
      <w:rFonts w:ascii="Times New Roman" w:hAnsi="Times New Roman"/>
      <w:sz w:val="22"/>
      <w:szCs w:val="22"/>
    </w:rPr>
  </w:style>
  <w:style w:type="character" w:customStyle="1" w:styleId="11">
    <w:name w:val="未处理的提及1"/>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author@example.com" TargetMode="External"/><Relationship Id="rId13" Type="http://schemas.openxmlformats.org/officeDocument/2006/relationships/image" Target="media/image1.png"/><Relationship Id="rId18" Type="http://schemas.openxmlformats.org/officeDocument/2006/relationships/oleObject" Target="embeddings/oleObject2.bin"/><Relationship Id="rId3" Type="http://schemas.openxmlformats.org/officeDocument/2006/relationships/styles" Target="styles.xml"/><Relationship Id="rId21" Type="http://schemas.openxmlformats.org/officeDocument/2006/relationships/hyperlink" Target="https://doi.org/10.1007/978-3-642-82453-1_5"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w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hyperlink" Target="https://doi.org/10.1145/800057.8086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hyperlink" Target="https://doi.org/10.1007/978-3-540-70545-1_14" TargetMode="External"/><Relationship Id="rId10" Type="http://schemas.openxmlformats.org/officeDocument/2006/relationships/footer" Target="footer1.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hyperlink" Target="https://doi.org/10.1109/2.161279" TargetMode="External"/><Relationship Id="rId26"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36164;&#26009;\&#25991;&#31185;&#26032;&#27169;&#26495;\&#33521;&#25991;-&#26368;&#32456;&#26368;&#26032;AP_proceedings_Word_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0E8EAA-7060-4661-A64A-5F3384F71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英文-最终最新AP_proceedings_Word_template</Template>
  <TotalTime>36</TotalTime>
  <Pages>6</Pages>
  <Words>2629</Words>
  <Characters>14990</Characters>
  <Application>Microsoft Office Word</Application>
  <DocSecurity>0</DocSecurity>
  <Lines>124</Lines>
  <Paragraphs>35</Paragraphs>
  <ScaleCrop>false</ScaleCrop>
  <Company/>
  <LinksUpToDate>false</LinksUpToDate>
  <CharactersWithSpaces>17584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KEO</dc:creator>
  <cp:lastModifiedBy>ka bing</cp:lastModifiedBy>
  <cp:revision>4</cp:revision>
  <cp:lastPrinted>2020-09-29T05:18:00Z</cp:lastPrinted>
  <dcterms:created xsi:type="dcterms:W3CDTF">2026-07-31T08:14:00Z</dcterms:created>
  <dcterms:modified xsi:type="dcterms:W3CDTF">2026-07-31T08:49:00Z</dcterms:modified>
  <dc:title>Integrated manuscript sections: Introduction, Related Work and Detailed Network</dc:title>
  <dc:subject>Working SCI-format manuscript draft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MTWinEqns">
    <vt:bool>true</vt:bool>
  </property>
  <property fmtid="{D5CDD505-2E9C-101B-9397-08002B2CF9AE}" pid="9" name="KSOProductBuildVer">
    <vt:lpwstr>2052-11.1.0.12980</vt:lpwstr>
  </property>
  <property fmtid="{D5CDD505-2E9C-101B-9397-08002B2CF9AE}" pid="10" name="ICV">
    <vt:lpwstr>8463A02BC753474DA438B644AEFB2F35</vt:lpwstr>
  </property>
</Properties>
</file>