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rticle-Title"/>
      </w:pPr>
      <w:r>
        <w:t>面向负迁移缓解的轻量化状态相关动态任务共享多能源负荷预测</w:t>
      </w:r>
    </w:p>
    <w:p>
      <w:pPr>
        <w:pStyle w:val="Head1"/>
      </w:pPr>
      <w:r>
        <w:t>1. Introduction</w:t>
      </w:r>
    </w:p>
    <w:p>
      <w:pPr>
        <w:pStyle w:val="Para"/>
      </w:pPr>
      <w:r>
        <w:t>随着电、冷、热、气等能源载体在综合能源系统（integrated energy system, IES）中的协同运行，准确的多能源负荷预测已成为供能计划、优化调度和需求响应的重要基础。相关综述系统总结了人工智能方法在综合能源系统多能源负荷预测中的应用与发展趋势[1]。针对数据量有限的综合能源系统，已有研究将神经网络、高斯过程与多任务学习结合，以同时利用多类负荷之间的互补信息[2]。面向用户级综合能源系统的研究则采用全局—局部注意力和多解码器结构，分别建模共享规律与任务差异[3]。与单一电力负荷预测不同，多能源负荷预测既要刻画每类负荷自身的时间规律，又要利用能源转换设备、气象条件、日历属性和用户行为形成的跨能源联系。分别训练多个独立模型可能遗漏任务之间可共享的信息，而将所有变量无差别地输入同一模型又可能掩盖不同负荷的特有动态。因此，多能源联合预测需要在利用共同规律与保留任务差异之间取得平衡。</w:t>
      </w:r>
    </w:p>
    <w:p>
      <w:pPr>
        <w:pStyle w:val="Para"/>
      </w:pPr>
      <w:r>
        <w:t>这种平衡之所以困难，是因为多能源任务之间的关系具有状态依赖性和潜在的方向差异。已有研究通过动态耦合关系建模，刻画不同能源负荷之间随时间变化的联系[4]。考虑气象变化的联合预测研究进一步表明，天气条件会改变不同负荷之间的关联模式[5]。例如，冷负荷与电负荷可能在高温季节表现出更强的同步变化，热负荷的主导因素则可能在低温季节改变；工作日/周末等日历属性和气象突变也会重新塑造跨负荷关系。此外，某一类能源负荷向另一类能源负荷提供的信息价值未必具有对称性。例如，电负荷的历史状态可能有助于预测冷负荷，但冷负荷的历史状态对电负荷预测的帮助程度不一定相同。这意味着，联合预测的关键不只是增加输入变量，而是根据当前状态判断每个目标任务是否需要其他任务的信息、需要来自哪个任务的信息，以及应当接收多少信息。</w:t>
      </w:r>
    </w:p>
    <w:p>
      <w:pPr>
        <w:pStyle w:val="Para"/>
      </w:pPr>
      <w:r>
        <w:t>近年来，多任务学习与时空注意力被用于同时提取多能源负荷的任务内时间依赖和任务间耦合，分层多任务学习就是其中的代表性方案[6]。图注意力多任务模型则进一步利用任务或能源节点之间的结构关系进行信息聚合[7]。与此同时，多变量时间序列研究开始关注如何在保留各变量自身时间规律的同时，有选择地利用变量之间的联系。iTransformer将每个变量的完整历史序列作为独立表示，并在此基础上学习不同变量之间的关系[8]。LIFT识别能够提前反映目标变量未来变化的领先变量，只引入具有预测价值的跨变量信息[9]。SOFTS则先将多个变量的信息汇总为全局核心表示，再将其传递给各个变量，从而以较低的计算成本实现变量之间的信息交互[10]。这些研究表明，跨任务信息具有预测价值，但完全独立与无条件混合都不是对所有数据和运行状态普遍最优的选择。</w:t>
      </w:r>
    </w:p>
    <w:p>
      <w:pPr>
        <w:pStyle w:val="Para"/>
      </w:pPr>
      <w:r>
        <w:t>近期能源预测研究已经开始处理上述问题。动态耦合建模研究从长期趋势、周期变化和短期波动等时间尺度分析跨负荷关系，为状态相关的信息传递提供了启发[4]。多任务平衡研究则通过共享矩阵和梯度协调方法处理不同能源任务之间的优化冲突[11]。面向小样本场景的频率增强多任务混合专家网络进一步将缓解负迁移明确作为模型设计目标[12]。与依赖频率分解和多专家门控的现有方法不同，本文不引入频率分解或多专家网络，而是采用参数量受控的时间编码器和状态相关的定向任务门控实现选择性信息传递，并以结构匹配的单任务模型为参照直接评价各能源任务的迁移收益。因此，本文的研究重点不是重新提出动态关系建模或负迁移缓解，而是在同一框架内进一步考察三个相互关联的问题。第一，跨任务共享强度和来源选择能否根据当前样本的负荷、天气、日历状态及预测步长实时变化，并允许不同传递方向具有不同权重；第二，联合学习的平均误差改善是否掩盖了个别任务、特定季节或部分预测步长上的性能下降；第三，动态关系建模所带来的收益能否在受控的参数量和计算开销下实现。关于多任务资源分配的研究表明，不同任务从联合优化中获得的资源与收益可能并不均衡[13]。多任务线性预测研究也从变量协同建模角度说明了任务间收益差异的重要性[14]。如果联合模型在某一任务上的误差高于结构匹配的单任务模型，则该任务发生了负迁移。仅报告多任务平均误差，无法判断每个能源任务是否真正从信息共享中受益。</w:t>
      </w:r>
    </w:p>
    <w:p>
      <w:pPr>
        <w:pStyle w:val="Para"/>
      </w:pPr>
      <w:r>
        <w:t>针对上述问题，本文拟构建一种轻量化状态相关动态任务共享框架。该框架首先使用感受野完整覆盖24小时历史窗口的深度可分离时间卷积编码器，分别提取电、冷、热、气任务的时间表示；随后将天气、日历和负荷状态与预测步嵌入结合，通过两级有向任务路由分别计算目标任务的总体共享强度和不同来源任务的相对分配，从而把“是否共享、从谁共享以及共享多少”分解为可学习决策。来源任务表示经过低秩有向投影后，以消息归一化和可控残差方式进入目标任务；当共享强度为零时，目标任务严格保留其独立预测路径。最后，任务—预测步专属预测头输出四类负荷未来1—4小时的预测结果。实验将设置结构匹配的单任务模型、固定共享多任务模型、原始动态门控模型和所提模型，并逐任务、逐季节和逐预测步长比较预测误差与相对迁移收益；同时报告参数量、理论计算量以及统一硬件条件下的训练和推理时间，以检验动态共享带来的收益是否具有合理的计算代价。</w:t>
      </w:r>
    </w:p>
    <w:p>
      <w:pPr>
        <w:pStyle w:val="Para"/>
      </w:pPr>
      <w:r>
        <w:t>实验采用公开的 Kitakyushu Energy Station Data。该数据集记录了日本北九州学术研究园区能源站及建筑群的小时级供能、用能和气象信息，并公开于 Figshare[15]。本文固定使用 2015—2021 年数据，将电力需求、供冷需求、供热需求和能源站系统侧天然气消耗量定义为四个预测任务。其中，气任务由能源站燃气发动机、燃料电池、吸收式冷热机组和燃气锅炉等设备的天然气使用量构成，不解释为单栋建筑用户端燃气表负荷。数据论文说明 2011 年 3 月存在地震造成的缺口[15]；本地数据审计还发现 2014 年部分负荷字段异常，因此两段数据均不进入本文的正式实验范围。本文的 MMoE-lite 仅作为保留专家路由思想的轻量外部对照，不包含 Shao 等人模型中的 Frequency 和 STIM 模块，也不声称复现其完整 Frequency-STIM-MMoE 模型。</w:t>
      </w:r>
    </w:p>
    <w:p>
      <w:pPr>
        <w:pStyle w:val="Para"/>
      </w:pPr>
      <w:r>
        <w:t>本文的主要贡献如下：</w:t>
      </w:r>
    </w:p>
    <w:p>
      <w:pPr>
        <w:pStyle w:val="ListNumbered"/>
      </w:pPr>
      <w:r>
        <w:t>将多能源联合预测表述为状态相关的定向任务共享问题。通过将联合模型与结构匹配的单任务模型进行逐任务比较并计算相对迁移收益，直接判断联合训练是否降低某类负荷的预测性能，以及动态门控能否缓解这种性能下降。</w:t>
      </w:r>
    </w:p>
    <w:p>
      <w:pPr>
        <w:pStyle w:val="ListNumbered"/>
      </w:pPr>
      <w:r>
        <w:t>构建由全窗口轻量时间编码器、状态与预测步表示、共享强度—来源分配两级有向路由、低秩消息投影和任务—预测步专属预测头组成的共享—专属框架，使跨能源信息传递能够随当前状态和预测距离变化，并在共享关闭时严格保留任务独立路径。</w:t>
      </w:r>
    </w:p>
    <w:p>
      <w:pPr>
        <w:pStyle w:val="ListNumbered"/>
      </w:pPr>
      <w:r>
        <w:t>建立同时覆盖平均精度、任务级负迁移、季节与预测步长稳定性以及计算开销的评价方案，用于区分联合预测的总体收益、个别任务受益情况和模型复杂度代价。</w:t>
      </w:r>
    </w:p>
    <w:p>
      <w:pPr>
        <w:pStyle w:val="Head1"/>
      </w:pPr>
      <w:r>
        <w:t>2. Related Work</w:t>
      </w:r>
    </w:p>
    <w:p>
      <w:pPr>
        <w:pStyle w:val="Para"/>
      </w:pPr>
      <w:r>
        <w:t>针对多能源负荷预测，现有研究可按照跨任务关系的建模方式划分为四类：基于共享表示与任务专属解码器的方法、基于注意力或图结构的方法、基于变量或通道依赖的方法，以及面向动态共享与负迁移缓解的方法[1]。这些类别分别在信息共享强度、关系适应性、模型复杂度、计算效率和任务可解释性之间进行权衡。前三类方法逐步增强了跨负荷信息利用能力，第四类方法则进一步关注共享关系随运行状态变化以及不同任务收益不均衡的问题。下面分别讨论各类方法的基本思想、代表性研究和局限性。</w:t>
      </w:r>
    </w:p>
    <w:p>
      <w:pPr>
        <w:pStyle w:val="Head2"/>
      </w:pPr>
      <w:r>
        <w:t>2.1 基于共享表示与任务专属解码器的多能源负荷预测</w:t>
      </w:r>
    </w:p>
    <w:p>
      <w:pPr>
        <w:pStyle w:val="Para"/>
      </w:pPr>
      <w:r>
        <w:t>第一类方法将多能源负荷预测视为多任务学习问题。模型通常使用共享编码器提取不同负荷之间的共同模式，再通过任务专属解码器或预测头恢复各类负荷的特有动态。其核心假设是，不同能源负荷虽然具有不同的物理含义和时间规律，但仍然可以通过共享表示获得互补信息。</w:t>
      </w:r>
    </w:p>
    <w:p>
      <w:pPr>
        <w:pStyle w:val="Para"/>
      </w:pPr>
      <w:r>
        <w:t>Zhang 等[2]面向小样本综合能源系统，将神经网络、高斯过程和多任务学习结合起来，以缓解样本不足条件下的预测不稳定问题。该类设计能够在共享任务信息的同时保留概率建模能力，适合数据量有限的综合能源系统。其不足在于，任务之间的共享关系通常由预先设定的网络结构决定，模型并不一定能够根据每个样本的运行状态调整信息传递强度。</w:t>
      </w:r>
    </w:p>
    <w:p>
      <w:pPr>
        <w:pStyle w:val="Para"/>
      </w:pPr>
      <w:r>
        <w:t>Kim 等[3]针对用户级综合能源系统，引入全局—局部注意力和多解码器结构。全局表示用于捕捉不同负荷之间的共同规律，局部表示和任务专属解码器用于保留各类负荷的差异。该方法改善了共享表示与任务特异性之间的平衡，但多解码器和多层注意力也增加了模型结构复杂度，并且平均预测误差不能直接说明每一个任务是否从联合训练中受益。</w:t>
      </w:r>
    </w:p>
    <w:p>
      <w:pPr>
        <w:pStyle w:val="Para"/>
      </w:pPr>
      <w:r>
        <w:t>总体来看，共享表示方法具有参数共享和样本效率方面的优势，是多能源联合预测的重要基础；但是，固定共享层或固定任务分工容易把同一类信息传递给所有样本。当任务关系随季节、天气和运行状态变化时，这种静态共享可能造成无关信息持续传播，并增加负迁移风险。</w:t>
      </w:r>
    </w:p>
    <w:p>
      <w:pPr>
        <w:pStyle w:val="Head2"/>
      </w:pPr>
      <w:r>
        <w:t>2.2 基于注意力和图结构的跨任务关系建模</w:t>
      </w:r>
    </w:p>
    <w:p>
      <w:pPr>
        <w:pStyle w:val="Para"/>
      </w:pPr>
      <w:r>
        <w:t>第二类方法通过注意力权重或图结构显式表示能源任务之间的关系。与简单拼接输入相比，这类模型能够根据任务、时间或空间节点之间的关联对信息进行加权聚合。其重点不再只是共享一个统一表示，而是学习“哪些任务之间存在联系以及联系强度是多少”。</w:t>
      </w:r>
    </w:p>
    <w:p>
      <w:pPr>
        <w:pStyle w:val="Para"/>
      </w:pPr>
      <w:r>
        <w:t>Song 等[6]提出分层多任务学习与时空注意力相结合的多能源负荷预测方法。分层共享结构用于表示不同层次的任务关系，时空注意力用于捕捉负荷在时间和空间维度上的变化。该方法增强了跨负荷关系的表达能力，但层次结构和注意力模块会带来额外参数，而且注意力权重主要用于特征聚合，不一定等同于可直接解释的源任务到目标任务的信息传递比例。</w:t>
      </w:r>
    </w:p>
    <w:p>
      <w:pPr>
        <w:pStyle w:val="Para"/>
      </w:pPr>
      <w:r>
        <w:t>Zeng 等[7]使用图注意力多任务学习模型，将不同负荷或能源任务表示为图节点，并根据邻接关系聚合相关任务信息。图结构有助于表达任务之间的拓扑关系，图注意力则可以对不同邻居赋予不同权重。其局限在于，图的节点关系或邻接结构往往需要预先确定，模型也可能把稳定的拓扑关系误当作在所有季节和运行状态下都成立的动态关系。</w:t>
      </w:r>
    </w:p>
    <w:p>
      <w:pPr>
        <w:pStyle w:val="Para"/>
      </w:pPr>
      <w:r>
        <w:t>注意力和图模型比固定共享结构更具有关系选择能力，但它们仍然面临两个问题。第一，注意力权重、图边权与负荷预测中的迁移收益并不完全等价，较大的权重不一定意味着目标任务的误差一定降低。第二，多头注意力、图消息传递和复杂拓扑会提高训练和调参成本。因此，仅依靠关系权重本身，还不足以判断联合学习是否产生了任务级正迁移或负迁移。</w:t>
      </w:r>
    </w:p>
    <w:p>
      <w:pPr>
        <w:pStyle w:val="Head2"/>
      </w:pPr>
      <w:r>
        <w:t>2.3 基于变量或通道依赖的多变量时间序列建模</w:t>
      </w:r>
    </w:p>
    <w:p>
      <w:pPr>
        <w:pStyle w:val="Para"/>
      </w:pPr>
      <w:r>
        <w:t>第三类方法来自多变量时间序列预测研究，重点讨论变量之间的通道依赖以及通道独立与通道混合之间的取舍。该类方法通常先保留每个变量自身的历史模式，再以变量表示为单位选择性地进行跨变量交互。对于多能源负荷预测而言，电、冷、热等负荷可以视为具有不同物理含义的变量或任务，因此这些方法为跨能源信息建模提供了通用的结构参考。</w:t>
      </w:r>
    </w:p>
    <w:p>
      <w:pPr>
        <w:pStyle w:val="Para"/>
      </w:pPr>
      <w:r>
        <w:t>Liu 等提出的 iTransformer 将每个变量的完整历史序列作为独立表示，并在变量表示之间学习跨变量关系[8]。这种倒置建模方式改变了传统时间步中心的注意力组织形式，有利于在多变量序列中表达变量间依赖，但其变量交互并没有针对能源任务的方向性和任务级迁移收益进行专门设计。</w:t>
      </w:r>
    </w:p>
    <w:p>
      <w:pPr>
        <w:pStyle w:val="Para"/>
      </w:pPr>
      <w:r>
        <w:t>Zhao 和 Shen 提出的 LIFT 识别能够提前反映目标变量未来变化的领先变量，并只引入具有预测价值的跨变量信息[9]。该思路强调有选择地利用变量关系，能够减少无关通道混合带来的干扰；但是，领先指标关系主要描述预测上的先行性，并不等同于根据天气、日历和当前负荷状态实时决定信息传递强度。</w:t>
      </w:r>
    </w:p>
    <w:p>
      <w:pPr>
        <w:pStyle w:val="Para"/>
      </w:pPr>
      <w:r>
        <w:t>Han 等提出的 SOFTS 将多个变量的信息汇总为全局核心表示，再将核心表示传递给各个变量，以较低的计算成本实现跨变量交互[10]。这种集中式序列核心降低了变量混合的计算复杂度，但全局核心也可能弱化具体源任务到具体目标任务之间的方向差异。对于本文关注的负迁移问题，仅获得较好的总体误差还不能证明每个能源任务都从全局交互中获益。</w:t>
      </w:r>
    </w:p>
    <w:p>
      <w:pPr>
        <w:pStyle w:val="Para"/>
      </w:pPr>
      <w:r>
        <w:t>总体而言，变量或通道依赖方法为高效跨变量交互提供了重要思路，但它们主要面向一般多变量序列，通常没有同时引入能源任务状态、外生变量、源—目标方向以及单任务参照。因此，需要将通道依赖建模思想进一步转化为适合多能源任务的状态相关共享机制。</w:t>
      </w:r>
    </w:p>
    <w:p>
      <w:pPr>
        <w:pStyle w:val="Head2"/>
      </w:pPr>
      <w:r>
        <w:t>2.4 面向动态共享与负迁移缓解的多任务学习</w:t>
      </w:r>
    </w:p>
    <w:p>
      <w:pPr>
        <w:pStyle w:val="Para"/>
      </w:pPr>
      <w:r>
        <w:t>第四类方法直接关注任务关系随时间或运行状态变化，以及联合学习可能造成的任务性能下降。与固定共享或无条件混合不同，这类方法试图在模型中加入动态关系、任务平衡、专家选择或资源分配机制，从而使不同任务获得更合适的信息和优化资源。</w:t>
      </w:r>
    </w:p>
    <w:p>
      <w:pPr>
        <w:pStyle w:val="Para"/>
      </w:pPr>
      <w:r>
        <w:t>Gu 等通过结构化动态潜变量和宽度学习系统建模不同负荷之间的动态耦合关系，说明跨负荷联系不应被简单视为固定相关性[4]。Huang 等进一步考虑气象变化，并联合使用多任务学习和单任务学习开展多能源负荷预测，强调外部环境会改变不同负荷之间的信息关联[5]。这些研究为状态相关关系建模提供了依据，但动态耦合或联合预测本身并不自动等价于对每个任务的负迁移缓解，仍需要使用统一的单任务参照进行逐任务验证。</w:t>
      </w:r>
    </w:p>
    <w:p>
      <w:pPr>
        <w:pStyle w:val="Para"/>
      </w:pPr>
      <w:r>
        <w:t>Wang 等将图神经网络与多任务平衡机制结合，用于协调综合能源系统中的多类负荷预测任务[11]。Ban 和 Ji 从多任务公平资源分配角度讨论不同任务在联合优化中获得的资源是否均衡，指出任务之间的收益可能存在差异[13]。Nochumsohn 等则从线性多变量预测角度研究多任务协同，为分析联合建模中的任务差异提供了更简洁的理论参照[14]。这些研究共同说明，多任务模型的总体平均性能不能替代逐任务性能分析。</w:t>
      </w:r>
    </w:p>
    <w:p>
      <w:pPr>
        <w:pStyle w:val="Para"/>
      </w:pPr>
      <w:r>
        <w:t>Shao 等面向小样本场景提出频率增强的多任务混合专家网络，通过频率特征、共享表示和专家选择机制改善多能源负荷预测，并将负迁移缓解作为设计目标[12]。该方法与本文都关注多能源任务之间的选择性共享，因此可以作为重要的外部基线或对比方向。两者的研究重点仍然不同：Shao 等人的方法依赖频率增强和混合专家结构，而本文拟采用参数量受控的时间编码器、状态编码器和有向动态任务门控，并通过结构匹配的单任务模型计算逐任务迁移收益。</w:t>
      </w:r>
    </w:p>
    <w:p>
      <w:pPr>
        <w:pStyle w:val="Para"/>
      </w:pPr>
      <w:r>
        <w:t>这类方法比固定共享结构更接近真实运行过程，但也带来了新的评价要求。模型是否动态调整共享关系，需要通过门控或关系权重的状态变化进行诊断；模型是否缓解负迁移，需要比较联合模型与结构匹配单任务模型在每个任务、季节和预测步长上的误差，而不能只报告所有任务的平均指标。</w:t>
      </w:r>
    </w:p>
    <w:p>
      <w:pPr>
        <w:pStyle w:val="Head2"/>
      </w:pPr>
      <w:r>
        <w:t>2.5 小结：研究趋势与本文定位</w:t>
      </w:r>
    </w:p>
    <w:p>
      <w:pPr>
        <w:pStyle w:val="Para"/>
      </w:pPr>
      <w:r>
        <w:t>四类方法体现了多能源负荷预测中跨任务建模的逐步演进。共享表示与任务专属解码器具有结构简单、参数共享充分的优点，但通常依赖预先设定的共享方式。注意力和图模型能够显式表达任务关系，却可能受到固定拓扑、复杂模块和高计算开销的限制。变量或通道依赖方法强调选择性跨变量交互和计算效率，但尚未充分结合能源任务的物理差异、外生状态和信息传递方向。动态共享与负迁移缓解方法进一步提高了关系适应性，但现有研究仍常常将动态关系建模、频率分解或专家选择与较复杂的模型结构绑定，且任务级迁移收益的统一评价还不充分。</w:t>
      </w:r>
    </w:p>
    <w:p>
      <w:pPr>
        <w:pStyle w:val="Para"/>
      </w:pPr>
      <w:r>
        <w:t>本文将所提框架记为 Scheme2R，并沿着这一趋势构建轻量化状态相关动态任务共享框架：使用四个结构相同但参数独立的轻量时间编码器，分别保留电、冷、热、气负荷的独有时间规律；由状态编码器提取天气和日历状态，并由任务编码器提供当前负荷状态表示；随后结合预测步嵌入，通过两级有向路由分别计算总体共享强度和来源任务分配。门控后的源任务信息通过方向特定的投影和目标任务残差融合进入目标表示，最后由任务—预测步专属预测头输出多步负荷预测。</w:t>
      </w:r>
    </w:p>
    <w:p>
      <w:pPr>
        <w:pStyle w:val="Para"/>
      </w:pPr>
      <w:r>
        <w:t>实验将同时设置结构匹配的单任务模型、硬共享模型、静态门控模型、动态对称门控模型、Legacy Dynamic Directed Gate 以及所提的两级状态相关有向路由模型，并在相同的数据切分、标准化方法、预测窗口和训练协议下进行比较。</w:t>
      </w:r>
    </w:p>
    <w:p>
      <w:pPr>
        <w:pStyle w:val="Head1"/>
      </w:pPr>
      <w:r>
        <w:t>3. Detailed Network</w:t>
      </w:r>
    </w:p>
    <w:p>
      <w:pPr>
        <w:pStyle w:val="Para"/>
      </w:pPr>
      <w:r>
        <w:t>本节给出 Scheme2R 主模型的数学定义和前向计算流程。为避免与外部 MMoE-lite 基线混淆，以下“所提模型”均指当前四任务、状态相关、预测步相关的有向任务共享网络。</w:t>
      </w:r>
    </w:p>
    <w:p>
      <w:pPr>
        <w:pStyle w:val="Head2"/>
      </w:pPr>
      <w:r>
        <w:t>3.1 Problem Statement / Math Definition</w:t>
      </w:r>
    </w:p>
    <w:p>
      <w:pPr>
        <w:pStyle w:val="Para"/>
      </w:pPr>
      <w:r>
        <w:t>考虑 Kitakyushu Energy Station 数据集中的多能源负荷预测问题。本文将电力、冷负荷、热负荷和燃气负荷视为四个相互关联但具有不同动态规律的预测任务，任务集合记为 TaskSet = {e, c, h, g}，其中 e、c、h、g 分别表示 electricity、cooling、heating 和 gas。数学上的集合不强调顺序；为保证数据管线、损失计算和结果导出的可复现性，代码中固定任务顺序为 [electricity, cooling, heating, gas]。</w:t>
      </w:r>
    </w:p>
    <w:p>
      <w:pPr>
        <w:pStyle w:val="Para"/>
      </w:pPr>
      <w:r>
        <w:t xml:space="preserve">在时刻 t，模型使用过去 24 个小时的负荷和外生变量预测未来 4 个小时的四类负荷。设 M = 4 为任务数，L = 24 为历史窗口长度，H = 4 为预测步长，G 为历史外生变量的维度。第 i 个任务在历史窗口内的负荷序列记为 </w:t>
      </w:r>
      <m:oMath>
        <m:sSubSup>
          <m:e>
            <m:r>
              <m:t>x</m:t>
            </m:r>
          </m:e>
          <m:sub>
            <m:r>
              <m:t>t-L+1:t</m:t>
            </m:r>
          </m:sub>
          <m:sup>
            <m:r>
              <m:t>(i)</m:t>
            </m:r>
          </m:sup>
        </m:sSubSup>
      </m:oMath>
      <w:r>
        <w:t>，所有任务的负荷输入和外生变量分别写为：</w:t>
      </w:r>
    </w:p>
    <w:p>
      <w:pPr>
        <w:pStyle w:val="Para"/>
      </w:pPr>
      <m:oMathPara>
        <m:oMath>
          <m:sSub>
            <m:e>
              <m:r>
                <m:t>X</m:t>
              </m:r>
            </m:e>
            <m:sub>
              <m:r>
                <m:t>t</m:t>
              </m:r>
            </m:sub>
          </m:sSub>
          <m:r>
            <m:t> </m:t>
          </m:r>
          <m:r>
            <m:t>∈</m:t>
          </m:r>
          <m:r>
            <m:t> </m:t>
          </m:r>
          <m:sSup>
            <m:e>
              <m:r>
                <m:t>R</m:t>
              </m:r>
            </m:e>
            <m:sup>
              <m:r>
                <m:t>L </m:t>
              </m:r>
              <m:r>
                <m:t>×</m:t>
              </m:r>
              <m:r>
                <m:t> M</m:t>
              </m:r>
            </m:sup>
          </m:sSup>
          <m:sSubSup>
            <m:e>
              <m:r>
                <m:t> = [x</m:t>
              </m:r>
            </m:e>
            <m:sub>
              <m:r>
                <m:t>t-L+1:t</m:t>
              </m:r>
            </m:sub>
            <m:sup>
              <m:r>
                <m:t>e</m:t>
              </m:r>
            </m:sup>
          </m:sSubSup>
          <m:sSubSup>
            <m:e>
              <m:r>
                <m:t>, x</m:t>
              </m:r>
            </m:e>
            <m:sub>
              <m:r>
                <m:t>t-L+1:t</m:t>
              </m:r>
            </m:sub>
            <m:sup>
              <m:r>
                <m:t>c</m:t>
              </m:r>
            </m:sup>
          </m:sSubSup>
          <m:sSubSup>
            <m:e>
              <m:r>
                <m:t>, x</m:t>
              </m:r>
            </m:e>
            <m:sub>
              <m:r>
                <m:t>t-L+1:t</m:t>
              </m:r>
            </m:sub>
            <m:sup>
              <m:r>
                <m:t>h</m:t>
              </m:r>
            </m:sup>
          </m:sSubSup>
          <m:sSubSup>
            <m:e>
              <m:r>
                <m:t>, x</m:t>
              </m:r>
            </m:e>
            <m:sub>
              <m:r>
                <m:t>t-L+1:t</m:t>
              </m:r>
            </m:sub>
            <m:sup>
              <m:r>
                <m:t>g</m:t>
              </m:r>
            </m:sup>
          </m:sSubSup>
          <m:r>
            <m:t>]</m:t>
          </m:r>
        </m:oMath>
      </m:oMathPara>
    </w:p>
    <w:p>
      <w:pPr>
        <w:pStyle w:val="Para"/>
      </w:pPr>
      <m:oMathPara>
        <m:oMath>
          <m:sSub>
            <m:e>
              <m:r>
                <m:t>R</m:t>
              </m:r>
            </m:e>
            <m:sub>
              <m:r>
                <m:t>t</m:t>
              </m:r>
            </m:sub>
          </m:sSub>
          <m:r>
            <m:t> </m:t>
          </m:r>
          <m:r>
            <m:t>∈</m:t>
          </m:r>
          <m:r>
            <m:t> </m:t>
          </m:r>
          <m:sSup>
            <m:e>
              <m:r>
                <m:t>R</m:t>
              </m:r>
            </m:e>
            <m:sup>
              <m:r>
                <m:t>L </m:t>
              </m:r>
              <m:r>
                <m:t>×</m:t>
              </m:r>
              <m:r>
                <m:t> G</m:t>
              </m:r>
            </m:sup>
          </m:sSup>
          <m:sSub>
            <m:e>
              <m:r>
                <m:t> = [r</m:t>
              </m:r>
            </m:e>
            <m:sub>
              <m:r>
                <m:t>t-L+1</m:t>
              </m:r>
            </m:sub>
          </m:sSub>
          <m:r>
            <m:t>, </m:t>
          </m:r>
          <m:r>
            <m:t>…</m:t>
          </m:r>
          <m:sSub>
            <m:e>
              <m:r>
                <m:t>, r</m:t>
              </m:r>
            </m:e>
            <m:sub>
              <m:r>
                <m:t>t</m:t>
              </m:r>
            </m:sub>
          </m:sSub>
          <m:r>
            <m:t>]</m:t>
          </m:r>
        </m:oMath>
      </m:oMathPara>
    </w:p>
    <w:p>
      <w:pPr>
        <w:pStyle w:val="Para"/>
      </w:pPr>
      <w:r>
        <w:t>R_t 只包含预测时刻已经可获得的历史信息，例如温度、湿度、太阳辐照度、风速、风向以及小时、星期、月份等日历编码。本文不使用未来时刻的真实气象值，因此不会把预测时刻尚不可知的信息泄漏到模型输入中。对应的预测目标为：</w:t>
      </w:r>
    </w:p>
    <w:p>
      <w:pPr>
        <w:pStyle w:val="Para"/>
      </w:pPr>
      <m:oMathPara>
        <m:oMath>
          <m:r>
            <m:t>R = </m:t>
          </m:r>
          <m:r>
            <m:t>{</m:t>
          </m:r>
          <m:r>
            <m:t>temperature</m:t>
          </m:r>
          <m:r>
            <m:t>, </m:t>
          </m:r>
          <m:r>
            <m:t>humidity</m:t>
          </m:r>
          <m:r>
            <m:t>, </m:t>
          </m:r>
          <m:r>
            <m:t>solar</m:t>
          </m:r>
          <m:r>
            <m:t> </m:t>
          </m:r>
          <m:r>
            <m:t>irradiance</m:t>
          </m:r>
          <m:r>
            <m:t>, </m:t>
          </m:r>
          <m:r>
            <m:t>wind</m:t>
          </m:r>
          <m:r>
            <m:t> </m:t>
          </m:r>
          <m:r>
            <m:t>speed</m:t>
          </m:r>
          <m:r>
            <m:t>, </m:t>
          </m:r>
          <m:r>
            <m:t>wind</m:t>
          </m:r>
          <m:r>
            <m:t> </m:t>
          </m:r>
          <m:r>
            <m:t>direction</m:t>
          </m:r>
          <m:r>
            <m:t>, </m:t>
          </m:r>
          <m:r>
            <m:t>calendar</m:t>
          </m:r>
          <m:r>
            <m:t> </m:t>
          </m:r>
          <m:r>
            <m:t>encodings</m:t>
          </m:r>
          <m:r>
            <m:t>}</m:t>
          </m:r>
        </m:oMath>
      </m:oMathPara>
    </w:p>
    <w:p>
      <w:pPr>
        <w:pStyle w:val="Para"/>
      </w:pPr>
      <w:r>
        <w:t>其中 gas 按 Kitakyushu Energy Station 数据集的气侧字段定义为能源站系统边界内的燃气负荷/消耗量，而不是未经定义的居民燃气表读数。该边界说明保证气任务与电、冷、热任务处于同一能源站负荷预测问题中。</w:t>
      </w:r>
    </w:p>
    <w:p>
      <w:pPr>
        <w:pStyle w:val="Para"/>
      </w:pPr>
      <m:oMathPara>
        <m:oMath>
          <m:sSub>
            <m:e>
              <m:r>
                <m:t>Y</m:t>
              </m:r>
            </m:e>
            <m:sub>
              <m:r>
                <m:t>t</m:t>
              </m:r>
            </m:sub>
          </m:sSub>
          <m:r>
            <m:t> </m:t>
          </m:r>
          <m:r>
            <m:t>∈</m:t>
          </m:r>
          <m:r>
            <m:t> </m:t>
          </m:r>
          <m:sSup>
            <m:e>
              <m:r>
                <m:t>R</m:t>
              </m:r>
            </m:e>
            <m:sup>
              <m:r>
                <m:t>H </m:t>
              </m:r>
              <m:r>
                <m:t>×</m:t>
              </m:r>
              <m:r>
                <m:t> M</m:t>
              </m:r>
            </m:sup>
          </m:sSup>
          <m:sSubSup>
            <m:e>
              <m:r>
                <m:t> = [y</m:t>
              </m:r>
            </m:e>
            <m:sub>
              <m:r>
                <m:t>t+1:t+H</m:t>
              </m:r>
            </m:sub>
            <m:sup>
              <m:r>
                <m:t>e</m:t>
              </m:r>
            </m:sup>
          </m:sSubSup>
          <m:sSubSup>
            <m:e>
              <m:r>
                <m:t>, y</m:t>
              </m:r>
            </m:e>
            <m:sub>
              <m:r>
                <m:t>t+1:t+H</m:t>
              </m:r>
            </m:sub>
            <m:sup>
              <m:r>
                <m:t>c</m:t>
              </m:r>
            </m:sup>
          </m:sSubSup>
          <m:sSubSup>
            <m:e>
              <m:r>
                <m:t>, y</m:t>
              </m:r>
            </m:e>
            <m:sub>
              <m:r>
                <m:t>t+1:t+H</m:t>
              </m:r>
            </m:sub>
            <m:sup>
              <m:r>
                <m:t>h</m:t>
              </m:r>
            </m:sup>
          </m:sSubSup>
          <m:sSubSup>
            <m:e>
              <m:r>
                <m:t>, y</m:t>
              </m:r>
            </m:e>
            <m:sub>
              <m:r>
                <m:t>t+1:t+H</m:t>
              </m:r>
            </m:sub>
            <m:sup>
              <m:r>
                <m:t>g</m:t>
              </m:r>
            </m:sup>
          </m:sSubSup>
          <m:r>
            <m:t>]</m:t>
          </m:r>
        </m:oMath>
      </m:oMathPara>
    </w:p>
    <w:p>
      <w:pPr>
        <w:pStyle w:val="Para"/>
      </w:pPr>
      <w:r>
        <w:t>模型学习一个参数为 theta 的映射 f_theta，将历史负荷与历史外生变量转换为未来多任务预测：</w:t>
      </w:r>
    </w:p>
    <w:p>
      <w:pPr>
        <w:pStyle w:val="Para"/>
      </w:pPr>
      <m:oMathPara>
        <m:oMath>
          <m:sSub>
            <m:e>
              <m:acc>
                <m:accPr>
                  <m:chr m:val="^"/>
                </m:accPr>
                <m:e>
                  <m:r>
                    <m:t>Y</m:t>
                  </m:r>
                </m:e>
              </m:acc>
            </m:e>
            <m:sub>
              <m:r>
                <m:t>t</m:t>
              </m:r>
            </m:sub>
          </m:sSub>
          <m:sSub>
            <m:e>
              <m:r>
                <m:t> = f</m:t>
              </m:r>
            </m:e>
            <m:sub>
              <m:r>
                <m:t>θ</m:t>
              </m:r>
            </m:sub>
          </m:sSub>
          <m:sSub>
            <m:e>
              <m:r>
                <m:t>(X</m:t>
              </m:r>
            </m:e>
            <m:sub>
              <m:r>
                <m:t>t</m:t>
              </m:r>
            </m:sub>
          </m:sSub>
          <m:sSub>
            <m:e>
              <m:r>
                <m:t>, R</m:t>
              </m:r>
            </m:e>
            <m:sub>
              <m:r>
                <m:t>t</m:t>
              </m:r>
            </m:sub>
          </m:sSub>
          <m:r>
            <m:t>) </m:t>
          </m:r>
          <m:r>
            <m:t>∈</m:t>
          </m:r>
          <m:r>
            <m:t> </m:t>
          </m:r>
          <m:sSup>
            <m:e>
              <m:r>
                <m:t>R</m:t>
              </m:r>
            </m:e>
            <m:sup>
              <m:r>
                <m:t>H </m:t>
              </m:r>
              <m:r>
                <m:t>×</m:t>
              </m:r>
              <m:r>
                <m:t> M</m:t>
              </m:r>
            </m:sup>
          </m:sSup>
          <m:r>
            <m:t> = </m:t>
          </m:r>
          <m:sSup>
            <m:e>
              <m:r>
                <m:t>R</m:t>
              </m:r>
            </m:e>
            <m:sup>
              <m:r>
                <m:t>4 </m:t>
              </m:r>
              <m:r>
                <m:t>×</m:t>
              </m:r>
              <m:r>
                <m:t> 4</m:t>
              </m:r>
            </m:sup>
          </m:sSup>
        </m:oMath>
      </m:oMathPara>
    </w:p>
    <w:tbl>
      <w:tblPr>
        <w:tblStyle w:val="af1"/>
        <w:tblW w:type="auto" w:w="0"/>
        <w:tblLayout w:type="fixed"/>
        <w:tblLook w:firstColumn="1" w:firstRow="1" w:lastColumn="0" w:lastRow="0" w:noHBand="0" w:noVBand="1" w:val="04A0"/>
      </w:tblPr>
      <w:tblGrid>
        <w:gridCol w:w="4758"/>
        <w:gridCol w:w="4758"/>
      </w:tblGrid>
      <w:tr>
        <w:tc>
          <w:tcPr>
            <w:tcW w:type="dxa" w:w="1800"/>
          </w:tcPr>
          <w:p>
            <w:r>
              <w:rPr>
                <w:rFonts w:ascii="Arial Unicode MS" w:hAnsi="Arial Unicode MS" w:eastAsia="Arial Unicode MS"/>
                <w:b/>
                <w:sz w:val="18"/>
              </w:rPr>
              <w:t>符号</w:t>
            </w:r>
          </w:p>
        </w:tc>
        <w:tc>
          <w:tcPr>
            <w:tcW w:type="dxa" w:w="7560"/>
          </w:tcPr>
          <w:p>
            <w:r>
              <w:rPr>
                <w:rFonts w:ascii="Arial Unicode MS" w:hAnsi="Arial Unicode MS" w:eastAsia="Arial Unicode MS"/>
                <w:b/>
                <w:sz w:val="18"/>
              </w:rPr>
              <w:t>含义</w:t>
            </w:r>
          </w:p>
        </w:tc>
      </w:tr>
      <w:tr>
        <w:tc>
          <w:tcPr>
            <w:tcW w:type="dxa" w:w="1800"/>
          </w:tcPr>
          <w:p>
            <w:r>
              <w:rPr>
                <w:rFonts w:ascii="Arial Unicode MS" w:hAnsi="Arial Unicode MS" w:eastAsia="Arial Unicode MS"/>
                <w:sz w:val="18"/>
              </w:rPr>
              <w:t>M = 4</w:t>
            </w:r>
          </w:p>
        </w:tc>
        <w:tc>
          <w:tcPr>
            <w:tcW w:type="dxa" w:w="7560"/>
          </w:tcPr>
          <w:p>
            <w:r>
              <w:rPr>
                <w:rFonts w:ascii="Arial Unicode MS" w:hAnsi="Arial Unicode MS" w:eastAsia="Arial Unicode MS"/>
                <w:sz w:val="18"/>
              </w:rPr>
              <w:t>四个负荷任务：电、冷、热、气。</w:t>
            </w:r>
          </w:p>
        </w:tc>
      </w:tr>
      <w:tr>
        <w:tc>
          <w:tcPr>
            <w:tcW w:type="dxa" w:w="1800"/>
          </w:tcPr>
          <w:p>
            <w:r>
              <w:rPr>
                <w:rFonts w:ascii="Arial Unicode MS" w:hAnsi="Arial Unicode MS" w:eastAsia="Arial Unicode MS"/>
                <w:sz w:val="18"/>
              </w:rPr>
              <w:t>L = 24</w:t>
            </w:r>
          </w:p>
        </w:tc>
        <w:tc>
          <w:tcPr>
            <w:tcW w:type="dxa" w:w="7560"/>
          </w:tcPr>
          <w:p>
            <w:r>
              <w:rPr>
                <w:rFonts w:ascii="Arial Unicode MS" w:hAnsi="Arial Unicode MS" w:eastAsia="Arial Unicode MS"/>
                <w:sz w:val="18"/>
              </w:rPr>
              <w:t>输入窗口长度，表示连续 24 个历史小时。</w:t>
            </w:r>
          </w:p>
        </w:tc>
      </w:tr>
      <w:tr>
        <w:tc>
          <w:tcPr>
            <w:tcW w:type="dxa" w:w="1800"/>
          </w:tcPr>
          <w:p>
            <w:r>
              <w:rPr>
                <w:rFonts w:ascii="Arial Unicode MS" w:hAnsi="Arial Unicode MS" w:eastAsia="Arial Unicode MS"/>
                <w:sz w:val="18"/>
              </w:rPr>
              <w:t>H = 4</w:t>
            </w:r>
          </w:p>
        </w:tc>
        <w:tc>
          <w:tcPr>
            <w:tcW w:type="dxa" w:w="7560"/>
          </w:tcPr>
          <w:p>
            <w:r>
              <w:rPr>
                <w:rFonts w:ascii="Arial Unicode MS" w:hAnsi="Arial Unicode MS" w:eastAsia="Arial Unicode MS"/>
                <w:sz w:val="18"/>
              </w:rPr>
              <w:t>预测长度，表示未来连续 4 个小时。</w:t>
            </w:r>
          </w:p>
        </w:tc>
      </w:tr>
      <w:tr>
        <w:tc>
          <w:tcPr>
            <w:tcW w:type="dxa" w:w="1800"/>
          </w:tcPr>
          <w:p>
            <w:r>
              <w:rPr>
                <w:rFonts w:ascii="Arial Unicode MS" w:hAnsi="Arial Unicode MS" w:eastAsia="Arial Unicode MS"/>
                <w:sz w:val="18"/>
              </w:rPr>
              <w:t>X_t</w:t>
            </w:r>
          </w:p>
        </w:tc>
        <w:tc>
          <w:tcPr>
            <w:tcW w:type="dxa" w:w="7560"/>
          </w:tcPr>
          <w:p>
            <w:r>
              <w:rPr>
                <w:rFonts w:ascii="Arial Unicode MS" w:hAnsi="Arial Unicode MS" w:eastAsia="Arial Unicode MS"/>
                <w:sz w:val="18"/>
              </w:rPr>
              <w:t>形状为 [24, 4] 的历史多任务负荷窗口。</w:t>
            </w:r>
          </w:p>
        </w:tc>
      </w:tr>
      <w:tr>
        <w:tc>
          <w:tcPr>
            <w:tcW w:type="dxa" w:w="1800"/>
          </w:tcPr>
          <w:p>
            <w:r>
              <w:rPr>
                <w:rFonts w:ascii="Arial Unicode MS" w:hAnsi="Arial Unicode MS" w:eastAsia="Arial Unicode MS"/>
                <w:sz w:val="18"/>
              </w:rPr>
              <w:t>R_t</w:t>
            </w:r>
          </w:p>
        </w:tc>
        <w:tc>
          <w:tcPr>
            <w:tcW w:type="dxa" w:w="7560"/>
          </w:tcPr>
          <w:p>
            <w:r>
              <w:rPr>
                <w:rFonts w:ascii="Arial Unicode MS" w:hAnsi="Arial Unicode MS" w:eastAsia="Arial Unicode MS"/>
                <w:sz w:val="18"/>
              </w:rPr>
              <w:t>形状为 [24, G] 的历史外生变量窗口。</w:t>
            </w:r>
          </w:p>
        </w:tc>
      </w:tr>
      <w:tr>
        <w:tc>
          <w:tcPr>
            <w:tcW w:type="dxa" w:w="1800"/>
          </w:tcPr>
          <w:p>
            <w:r>
              <w:rPr>
                <w:rFonts w:ascii="Arial Unicode MS" w:hAnsi="Arial Unicode MS" w:eastAsia="Arial Unicode MS"/>
                <w:sz w:val="18"/>
              </w:rPr>
              <w:t>Y_t、Yhat_t</w:t>
            </w:r>
          </w:p>
        </w:tc>
        <w:tc>
          <w:tcPr>
            <w:tcW w:type="dxa" w:w="7560"/>
          </w:tcPr>
          <w:p>
            <w:r>
              <w:rPr>
                <w:rFonts w:ascii="Arial Unicode MS" w:hAnsi="Arial Unicode MS" w:eastAsia="Arial Unicode MS"/>
                <w:sz w:val="18"/>
              </w:rPr>
              <w:t>形状为 [4, 4] 的真实值和预测值；行是预测步，列是任务。</w:t>
            </w:r>
          </w:p>
        </w:tc>
      </w:tr>
    </w:tbl>
    <w:p>
      <w:pPr>
        <w:pStyle w:val="Para"/>
      </w:pPr>
    </w:p>
    <w:p>
      <w:pPr>
        <w:pStyle w:val="Para"/>
      </w:pPr>
      <w:r>
        <w:t>训练阶段对输入和目标进行训练集统计量标准化，模型输出在计算物理量指标前逆标准化。在给定训练样本集合 D_train 上，采用逐元素 Smooth L1 损失优化参数：</w:t>
      </w:r>
    </w:p>
    <w:p>
      <w:pPr>
        <w:pStyle w:val="Para"/>
      </w:pPr>
      <m:oMathPara>
        <m:oMath>
          <m:sSub>
            <m:e>
              <m:r>
                <m:t>min</m:t>
              </m:r>
            </m:e>
            <m:sub>
              <m:r>
                <m:t>θ</m:t>
              </m:r>
            </m:sub>
          </m:sSub>
          <m:r>
            <m:t>L</m:t>
          </m:r>
          <m:r>
            <m:t>(</m:t>
          </m:r>
          <m:r>
            <m:t>θ</m:t>
          </m:r>
          <m:r>
            <m:t>) = </m:t>
          </m:r>
          <m:f>
            <m:fPr>
              <m:type m:val="bar"/>
            </m:fPr>
            <m:num>
              <m:r>
                <m:t>1</m:t>
              </m:r>
            </m:num>
            <m:den>
              <m:r>
                <m:t>|</m:t>
              </m:r>
              <m:sSub>
                <m:e>
                  <m:r>
                    <m:t>D</m:t>
                  </m:r>
                </m:e>
                <m:sub>
                  <m:r>
                    <m:t>train</m:t>
                  </m:r>
                </m:sub>
              </m:sSub>
              <m:r>
                <m:t>| H M</m:t>
              </m:r>
            </m:den>
          </m:f>
          <m:r>
            <m:t> </m:t>
          </m:r>
          <m:sSub>
            <m:e>
              <m:r>
                <m:t>∑</m:t>
              </m:r>
            </m:e>
            <m:sub>
              <m:r>
                <m:t>t </m:t>
              </m:r>
              <m:r>
                <m:t>∈</m:t>
              </m:r>
              <m:r>
                <m:t> </m:t>
              </m:r>
              <m:sSub>
                <m:e>
                  <m:r>
                    <m:t>D</m:t>
                  </m:r>
                </m:e>
                <m:sub>
                  <m:r>
                    <m:t>train</m:t>
                  </m:r>
                </m:sub>
              </m:sSub>
            </m:sub>
          </m:sSub>
          <m:r>
            <m:t> </m:t>
          </m:r>
          <m:sSubSup>
            <m:e>
              <m:r>
                <m:t>∑</m:t>
              </m:r>
            </m:e>
            <m:sub>
              <m:r>
                <m:t>τ</m:t>
              </m:r>
              <m:r>
                <m:t>=1</m:t>
              </m:r>
            </m:sub>
            <m:sup>
              <m:r>
                <m:t>H</m:t>
              </m:r>
            </m:sup>
          </m:sSubSup>
          <m:r>
            <m:t> </m:t>
          </m:r>
          <m:sSub>
            <m:e>
              <m:r>
                <m:t>∑</m:t>
              </m:r>
            </m:e>
            <m:sub>
              <m:r>
                <m:t>i </m:t>
              </m:r>
              <m:r>
                <m:t>∈</m:t>
              </m:r>
              <m:r>
                <m:t> </m:t>
              </m:r>
              <m:r>
                <m:t>T</m:t>
              </m:r>
            </m:sub>
          </m:sSub>
          <m:r>
            <m:t> </m:t>
          </m:r>
          <m:r>
            <m:t>SmoothL1</m:t>
          </m:r>
          <m:r>
            <m:t>(</m:t>
          </m:r>
          <m:sSub>
            <m:e>
              <m:acc>
                <m:accPr>
                  <m:chr m:val="^"/>
                </m:accPr>
                <m:e>
                  <m:r>
                    <m:t>y</m:t>
                  </m:r>
                </m:e>
              </m:acc>
            </m:e>
            <m:sub>
              <m:r>
                <m:t>i,t,</m:t>
              </m:r>
              <m:r>
                <m:t>τ</m:t>
              </m:r>
            </m:sub>
          </m:sSub>
          <m:sSub>
            <m:e>
              <m:r>
                <m:t> - y</m:t>
              </m:r>
            </m:e>
            <m:sub>
              <m:r>
                <m:t>i,t,</m:t>
              </m:r>
              <m:r>
                <m:t>τ</m:t>
              </m:r>
            </m:sub>
          </m:sSub>
          <m:r>
            <m:t>)</m:t>
          </m:r>
        </m:oMath>
      </m:oMathPara>
    </w:p>
    <w:p>
      <w:pPr>
        <w:pStyle w:val="Para"/>
      </w:pPr>
      <w:r>
        <w:t>该问题定义同时保留三类约束：每类负荷必须能够利用自身历史规律完成预测；任务之间允许共享互补信息；共享强度必须随运行状态、目标任务、来源任务和预测步长变化。后一约束是 Scheme2R区别于固定共享层或静态相关矩阵的关键。</w:t>
      </w:r>
    </w:p>
    <w:p>
      <w:pPr>
        <w:pStyle w:val="Head2"/>
      </w:pPr>
      <w:r>
        <w:t>3.2 Overview Framework</w:t>
      </w:r>
    </w:p>
    <w:p>
      <w:pPr>
        <w:pStyle w:val="Para"/>
      </w:pPr>
      <w:r>
        <w:t>图 1 展示所提网络从输入到输出的整体流程。模型首先将四类负荷及历史外生变量分别编码，然后根据当前窗口状态、目标任务角色、来源任务角色和预测步上下文计算有向路由，最后把经过任务适配的跨任务信息以小幅残差方式注入各目标任务，并由任务—预测步专属预测头输出未来 4 步的电、冷、热、气负荷。整体框架由输入处理、任务编码、上下文编码、两级路由、消息投影、残差融合和预测输出七个环节组成。</w:t>
      </w:r>
    </w:p>
    <w:p>
      <w:pPr>
        <w:pStyle w:val="Figure"/>
        <w:jc w:val="center"/>
      </w:pPr>
      <w:r>
        <w:drawing>
          <wp:inline xmlns:a="http://schemas.openxmlformats.org/drawingml/2006/main" xmlns:pic="http://schemas.openxmlformats.org/drawingml/2006/picture">
            <wp:extent cx="5715000" cy="3214688"/>
            <wp:docPr id="1" name="Picture 1"/>
            <wp:cNvGraphicFramePr>
              <a:graphicFrameLocks noChangeAspect="1"/>
            </wp:cNvGraphicFramePr>
            <a:graphic>
              <a:graphicData uri="http://schemas.openxmlformats.org/drawingml/2006/picture">
                <pic:pic>
                  <pic:nvPicPr>
                    <pic:cNvPr id="0" name="Scheme2R_Framework_Diagram_v7.png"/>
                    <pic:cNvPicPr/>
                  </pic:nvPicPr>
                  <pic:blipFill>
                    <a:blip r:embed="rId26"/>
                    <a:stretch>
                      <a:fillRect/>
                    </a:stretch>
                  </pic:blipFill>
                  <pic:spPr>
                    <a:xfrm>
                      <a:off x="0" y="0"/>
                      <a:ext cx="5715000" cy="3214688"/>
                    </a:xfrm>
                    <a:prstGeom prst="rect"/>
                  </pic:spPr>
                </pic:pic>
              </a:graphicData>
            </a:graphic>
          </wp:inline>
        </w:drawing>
      </w:r>
    </w:p>
    <w:p>
      <w:pPr>
        <w:pStyle w:val="Figcaption"/>
        <w:jc w:val="center"/>
      </w:pPr>
      <w:r>
        <w:rPr>
          <w:b/>
        </w:rPr>
        <w:t>Figure 1.</w:t>
      </w:r>
      <w:r>
        <w:t xml:space="preserve"> Scheme2R 的输入定义、动态有向共享过程与四任务多步预测输出。</w:t>
      </w:r>
    </w:p>
    <w:p>
      <w:pPr>
        <w:pStyle w:val="Head3"/>
      </w:pPr>
      <w:r>
        <w:t>3.2.1 输入数据处理与表示</w:t>
      </w:r>
    </w:p>
    <w:p>
      <w:pPr>
        <w:pStyle w:val="Para"/>
      </w:pPr>
      <w:r>
        <w:t>模型输入由两部分组成：第一部分是四类负荷在过去 24 小时内的历史观测，第二部分是同一时间窗口内可获得的气象和日历外生变量。输入先按照训练集统计量进行标准化，再以时间维为主轴组织成滑动窗口。这样既保留了多任务负荷在同一时刻的对应关系，也避免使用预测时刻尚不可知的未来天气信息。对每个样本，数据管线形成 loads 的形状 [B, 24, 4]、exog 的形状 [B, 24, G]，并将目标组织为 [B, 4, 4]。</w:t>
      </w:r>
    </w:p>
    <w:p>
      <w:pPr>
        <w:pStyle w:val="Para"/>
      </w:pPr>
      <m:oMathPara>
        <m:oMath>
          <m:sSub>
            <m:e>
              <m:r>
                <m:t>Input</m:t>
              </m:r>
            </m:e>
            <m:sub>
              <m:r>
                <m:t>t</m:t>
              </m:r>
            </m:sub>
          </m:sSub>
          <m:r>
            <m:t>=</m:t>
          </m:r>
          <m:r>
            <m:t>{</m:t>
          </m:r>
          <m:sSub>
            <m:e>
              <m:r>
                <m:t>X</m:t>
              </m:r>
            </m:e>
            <m:sub>
              <m:r>
                <m:t>t</m:t>
              </m:r>
            </m:sub>
          </m:sSub>
          <m:sSub>
            <m:e>
              <m:r>
                <m:t>,R</m:t>
              </m:r>
            </m:e>
            <m:sub>
              <m:r>
                <m:t>t</m:t>
              </m:r>
            </m:sub>
          </m:sSub>
          <m:r>
            <m:t>}</m:t>
          </m:r>
          <m:r>
            <m:t>, </m:t>
          </m:r>
          <m:r>
            <m:t> </m:t>
          </m:r>
          <m:sSub>
            <m:e>
              <m:r>
                <m:t> X</m:t>
              </m:r>
            </m:e>
            <m:sub>
              <m:r>
                <m:t>t</m:t>
              </m:r>
            </m:sub>
          </m:sSub>
          <m:r>
            <m:t>∈</m:t>
          </m:r>
          <m:sSup>
            <m:e>
              <m:r>
                <m:t>R</m:t>
              </m:r>
            </m:e>
            <m:sup>
              <m:r>
                <m:t>24</m:t>
              </m:r>
              <m:r>
                <m:t>×</m:t>
              </m:r>
              <m:r>
                <m:t>4</m:t>
              </m:r>
            </m:sup>
          </m:sSup>
          <m:r>
            <m:t>, </m:t>
          </m:r>
          <m:r>
            <m:t> </m:t>
          </m:r>
          <m:sSub>
            <m:e>
              <m:r>
                <m:t> R</m:t>
              </m:r>
            </m:e>
            <m:sub>
              <m:r>
                <m:t>t</m:t>
              </m:r>
            </m:sub>
          </m:sSub>
          <m:r>
            <m:t>∈</m:t>
          </m:r>
          <m:sSup>
            <m:e>
              <m:r>
                <m:t>R</m:t>
              </m:r>
            </m:e>
            <m:sup>
              <m:r>
                <m:t>24</m:t>
              </m:r>
              <m:r>
                <m:t>×</m:t>
              </m:r>
              <m:r>
                <m:t> G</m:t>
              </m:r>
            </m:sup>
          </m:sSup>
          <m:r>
            <m:t>, </m:t>
          </m:r>
          <m:r>
            <m:t> </m:t>
          </m:r>
          <m:r>
            <m:t> </m:t>
          </m:r>
          <m:sSub>
            <m:e>
              <m:r>
                <m:t>Target</m:t>
              </m:r>
            </m:e>
            <m:sub>
              <m:r>
                <m:t>t</m:t>
              </m:r>
            </m:sub>
          </m:sSub>
          <m:r>
            <m:t>∈</m:t>
          </m:r>
          <m:sSup>
            <m:e>
              <m:r>
                <m:t>R</m:t>
              </m:r>
            </m:e>
            <m:sup>
              <m:r>
                <m:t>4</m:t>
              </m:r>
              <m:r>
                <m:t>×</m:t>
              </m:r>
              <m:r>
                <m:t>4</m:t>
              </m:r>
            </m:sup>
          </m:sSup>
        </m:oMath>
      </m:oMathPara>
    </w:p>
    <w:p>
      <w:pPr>
        <w:pStyle w:val="Para"/>
      </w:pPr>
      <w:r>
        <w:t>该输入组织方式借鉴多能源预测论文中常见的“主时间序列 + 外生变量 + 统一输出”表达，但本研究不把所有变量直接无差别拼接后交给一个共享编码器，而是在下一步为每个负荷任务保留独立的时间编码路径。</w:t>
      </w:r>
    </w:p>
    <w:p>
      <w:pPr>
        <w:pStyle w:val="Head3"/>
      </w:pPr>
      <w:r>
        <w:t>3.2.2 任务独立的 DS-TCN 时间编码</w:t>
      </w:r>
    </w:p>
    <w:p>
      <w:pPr>
        <w:pStyle w:val="Para"/>
      </w:pPr>
      <w:r>
        <w:t>对于每个任务 i in TaskSet，模型将该任务的历史负荷序列与同一历史窗口中的外生变量拼接，形成该任务的输入通道。四个任务使用结构相同但参数相互独立的 DS-TCN 编码器，因此每个编码器可以首先学习本任务的周期性、局部突变和短期惯性，而不会在编码初始阶段强制混合其他任务的表示。</w:t>
      </w:r>
    </w:p>
    <w:p>
      <w:pPr>
        <w:pStyle w:val="Para"/>
      </w:pPr>
      <m:oMathPara>
        <m:oMath>
          <m:sSub>
            <m:e>
              <m:r>
                <m:t>z</m:t>
              </m:r>
            </m:e>
            <m:sub>
              <m:r>
                <m:t>i</m:t>
              </m:r>
            </m:sub>
          </m:sSub>
          <m:sSubSup>
            <m:e>
              <m:r>
                <m:t> = [x</m:t>
              </m:r>
            </m:e>
            <m:sub>
              <m:r>
                <m:t>t-L+1:t</m:t>
              </m:r>
            </m:sub>
            <m:sup>
              <m:r>
                <m:t>i</m:t>
              </m:r>
            </m:sup>
          </m:sSubSup>
          <m:sSub>
            <m:e>
              <m:r>
                <m:t>; R</m:t>
              </m:r>
            </m:e>
            <m:sub>
              <m:r>
                <m:t>t</m:t>
              </m:r>
            </m:sub>
          </m:sSub>
          <m:r>
            <m:t>] </m:t>
          </m:r>
          <m:r>
            <m:t>∈</m:t>
          </m:r>
          <m:r>
            <m:t> </m:t>
          </m:r>
          <m:sSup>
            <m:e>
              <m:r>
                <m:t>R</m:t>
              </m:r>
            </m:e>
            <m:sup>
              <m:r>
                <m:t>L </m:t>
              </m:r>
              <m:r>
                <m:t>×</m:t>
              </m:r>
              <m:r>
                <m:t> (1+G)</m:t>
              </m:r>
            </m:sup>
          </m:sSup>
        </m:oMath>
      </m:oMathPara>
    </w:p>
    <w:p>
      <w:pPr>
        <w:pStyle w:val="Para"/>
      </w:pPr>
      <w:r>
        <w:t>DS-TCN 残差块使用深度可分离一维因果卷积：深度卷积在每个通道内提取时间模式，逐点卷积再完成通道融合。当前主模型采用卷积核大小 k = 5、膨胀率 (1, 2, 4) 和隐藏维度 32。其理论感受野为 1 + (k-1)(1+2+4) = 29，覆盖 24 小时输入窗口。编码器保留最后时刻表示和窗口平均表示，并将二者融合为任务表示：</w:t>
      </w:r>
    </w:p>
    <w:p>
      <w:pPr>
        <w:pStyle w:val="Para"/>
      </w:pPr>
      <m:oMathPara>
        <m:oMath>
          <m:sSub>
            <m:e>
              <m:r>
                <m:t>h</m:t>
              </m:r>
            </m:e>
            <m:sub>
              <m:r>
                <m:t>i</m:t>
              </m:r>
            </m:sub>
          </m:sSub>
          <m:r>
            <m:t> = </m:t>
          </m:r>
          <m:r>
            <m:t>Pool</m:t>
          </m:r>
          <m:r>
            <m:t>(</m:t>
          </m:r>
          <m:sSub>
            <m:e>
              <m:r>
                <m:t>DS-TCN</m:t>
              </m:r>
            </m:e>
            <m:sub>
              <m:r>
                <m:t>i</m:t>
              </m:r>
            </m:sub>
          </m:sSub>
          <m:sSub>
            <m:e>
              <m:r>
                <m:t>(z</m:t>
              </m:r>
            </m:e>
            <m:sub>
              <m:r>
                <m:t>i</m:t>
              </m:r>
            </m:sub>
          </m:sSub>
          <m:r>
            <m:t>)) </m:t>
          </m:r>
          <m:r>
            <m:t>∈</m:t>
          </m:r>
          <m:r>
            <m:t> </m:t>
          </m:r>
          <m:sSup>
            <m:e>
              <m:r>
                <m:t>R</m:t>
              </m:r>
            </m:e>
            <m:sup>
              <m:r>
                <m:t>32</m:t>
              </m:r>
            </m:sup>
          </m:sSup>
          <m:r>
            <m:t>, </m:t>
          </m:r>
          <m:r>
            <m:t> </m:t>
          </m:r>
          <m:r>
            <m:t> i </m:t>
          </m:r>
          <m:r>
            <m:t>∈</m:t>
          </m:r>
          <m:r>
            <m:t> </m:t>
          </m:r>
          <m:r>
            <m:t>{</m:t>
          </m:r>
          <m:r>
            <m:t>e,c,h,g</m:t>
          </m:r>
          <m:r>
            <m:t>}</m:t>
          </m:r>
        </m:oMath>
      </m:oMathPara>
    </w:p>
    <w:p>
      <w:pPr>
        <w:pStyle w:val="Para"/>
      </w:pPr>
      <w:r>
        <w:t>h_i 是第 i 个任务的局部时间表示。由于四个编码器的参数不共享，h_i 在进入跨任务路由前仍然保留任务特有的信息，这为后续判断“哪些信息可以共享”提供了清晰的来源表示。</w:t>
      </w:r>
    </w:p>
    <w:p>
      <w:pPr>
        <w:pStyle w:val="Head3"/>
      </w:pPr>
      <w:r>
        <w:t>3.2.3 状态编码、预测步上下文与任务角色</w:t>
      </w:r>
    </w:p>
    <w:p>
      <w:pPr>
        <w:pStyle w:val="Para"/>
      </w:pPr>
      <w:r>
        <w:t>仅根据静态任务关系进行共享，无法反映天气、日历和运行状态变化。为此，状态编码器对 R_t 的每个时间步使用轻量 MLP，随后提取窗口最后时刻、均值、标准差和首尾趋势四类统计特征，得到当前窗口的状态向量 s。该向量描述当前样本处于何种外部运行状态，但不等同于历史负荷本身。</w:t>
      </w:r>
    </w:p>
    <w:p>
      <w:pPr>
        <w:pStyle w:val="Para"/>
      </w:pPr>
      <m:oMathPara>
        <m:oMath>
          <m:sSub>
            <m:e>
              <m:r>
                <m:t>u</m:t>
              </m:r>
            </m:e>
            <m:sub>
              <m:r>
                <m:t>l</m:t>
              </m:r>
            </m:sub>
          </m:sSub>
          <m:r>
            <m:t> = </m:t>
          </m:r>
          <m:r>
            <m:t>GELU</m:t>
          </m:r>
          <m:sSub>
            <m:e>
              <m:r>
                <m:t>(W</m:t>
              </m:r>
            </m:e>
            <m:sub>
              <m:r>
                <m:t>r</m:t>
              </m:r>
            </m:sub>
          </m:sSub>
          <m:sSub>
            <m:e>
              <m:r>
                <m:t> r</m:t>
              </m:r>
            </m:e>
            <m:sub>
              <m:r>
                <m:t>l</m:t>
              </m:r>
            </m:sub>
          </m:sSub>
          <m:sSub>
            <m:e>
              <m:r>
                <m:t> + b</m:t>
              </m:r>
            </m:e>
            <m:sub>
              <m:r>
                <m:t>r</m:t>
              </m:r>
            </m:sub>
          </m:sSub>
          <m:r>
            <m:t>), </m:t>
          </m:r>
          <m:r>
            <m:t> </m:t>
          </m:r>
          <m:sSub>
            <m:e>
              <m:r>
                <m:t> s = P([u</m:t>
              </m:r>
            </m:e>
            <m:sub>
              <m:r>
                <m:t>L</m:t>
              </m:r>
            </m:sub>
          </m:sSub>
          <m:r>
            <m:t>;</m:t>
          </m:r>
          <m:r>
            <m:t>mean</m:t>
          </m:r>
          <m:r>
            <m:t>(u);</m:t>
          </m:r>
          <m:r>
            <m:t>std</m:t>
          </m:r>
          <m:sSub>
            <m:e>
              <m:r>
                <m:t>(u);u</m:t>
              </m:r>
            </m:e>
            <m:sub>
              <m:r>
                <m:t>L</m:t>
              </m:r>
            </m:sub>
          </m:sSub>
          <m:sSub>
            <m:e>
              <m:r>
                <m:t>-u</m:t>
              </m:r>
            </m:e>
            <m:sub>
              <m:r>
                <m:t>1</m:t>
              </m:r>
            </m:sub>
          </m:sSub>
          <m:r>
            <m:t>]) </m:t>
          </m:r>
          <m:r>
            <m:t>∈</m:t>
          </m:r>
          <m:r>
            <m:t> </m:t>
          </m:r>
          <m:sSup>
            <m:e>
              <m:r>
                <m:t>R</m:t>
              </m:r>
            </m:e>
            <m:sup>
              <m:r>
                <m:t>16</m:t>
              </m:r>
            </m:sup>
          </m:sSup>
        </m:oMath>
      </m:oMathPara>
    </w:p>
    <w:p>
      <w:pPr>
        <w:pStyle w:val="Para"/>
      </w:pPr>
      <w:r>
        <w:t>此外，为未来第 tau 个预测步设置可学习的步长嵌入 a_tau in R^4；为目标任务和来源任务分别设置可学习的角色嵌入 qT_i、qS_j in R^8。它们不是额外的历史观测值，而是供路由器区分“预测哪一个任务”、“从哪一个任务接收信息”以及“预测未来第几步”的任务条件向量。</w:t>
      </w:r>
    </w:p>
    <w:p>
      <w:pPr>
        <w:pStyle w:val="Head3"/>
      </w:pPr>
      <w:r>
        <w:t>3.2.4 状态与预测步相关的两级有向路由</w:t>
      </w:r>
    </w:p>
    <w:p>
      <w:pPr>
        <w:pStyle w:val="Para"/>
      </w:pPr>
      <w:r>
        <w:t>Scheme2R 将跨任务共享拆成两级决策。第一级决定目标任务 i 在预测步 tau 是否需要跨任务信息以及总体共享强度；第二级在排除自身任务后，对来源任务 j 的信息进行相对分配。这样可以明确区分“共享多少”和“从谁共享”，避免用一个权重同时承担两个含义。</w:t>
      </w:r>
    </w:p>
    <w:p>
      <w:pPr>
        <w:pStyle w:val="Para"/>
      </w:pPr>
      <m:oMathPara>
        <m:oMath>
          <m:sSub>
            <m:e>
              <m:r>
                <m:t>ρ</m:t>
              </m:r>
            </m:e>
            <m:sub>
              <m:r>
                <m:t>i,</m:t>
              </m:r>
              <m:r>
                <m:t>τ</m:t>
              </m:r>
            </m:sub>
          </m:sSub>
          <m:r>
            <m:t> = </m:t>
          </m:r>
          <m:r>
            <m:t>sigmoid</m:t>
          </m:r>
          <m:sSub>
            <m:e>
              <m:r>
                <m:t>(f</m:t>
              </m:r>
            </m:e>
            <m:sub>
              <m:r>
                <m:t>ρ</m:t>
              </m:r>
            </m:sub>
          </m:sSub>
          <m:sSub>
            <m:e>
              <m:r>
                <m:t>([s;h</m:t>
              </m:r>
            </m:e>
            <m:sub>
              <m:r>
                <m:t>i</m:t>
              </m:r>
            </m:sub>
          </m:sSub>
          <m:sSubSup>
            <m:e>
              <m:r>
                <m:t>;q</m:t>
              </m:r>
            </m:e>
            <m:sub>
              <m:r>
                <m:t>i</m:t>
              </m:r>
            </m:sub>
            <m:sup>
              <m:r>
                <m:t>T</m:t>
              </m:r>
            </m:sup>
          </m:sSubSup>
          <m:sSub>
            <m:e>
              <m:r>
                <m:t>;a</m:t>
              </m:r>
            </m:e>
            <m:sub>
              <m:r>
                <m:t>τ</m:t>
              </m:r>
            </m:sub>
          </m:sSub>
          <m:r>
            <m:t>])) </m:t>
          </m:r>
          <m:r>
            <m:t>∈</m:t>
          </m:r>
          <m:r>
            <m:t> (0,1)</m:t>
          </m:r>
        </m:oMath>
      </m:oMathPara>
    </w:p>
    <w:p>
      <w:pPr>
        <w:pStyle w:val="Para"/>
      </w:pPr>
      <m:oMathPara>
        <m:oMath>
          <m:sSub>
            <m:e>
              <m:r>
                <m:t>π</m:t>
              </m:r>
            </m:e>
            <m:sub>
              <m:r>
                <m:t>i</m:t>
              </m:r>
              <m:r>
                <m:t>←</m:t>
              </m:r>
              <m:r>
                <m:t> j,</m:t>
              </m:r>
              <m:r>
                <m:t>τ</m:t>
              </m:r>
            </m:sub>
          </m:sSub>
          <m:r>
            <m:t> = </m:t>
          </m:r>
          <m:sSub>
            <m:e>
              <m:r>
                <m:t>softmax</m:t>
              </m:r>
            </m:e>
            <m:sub>
              <m:r>
                <m:t>j</m:t>
              </m:r>
              <m:r>
                <m:t>≠</m:t>
              </m:r>
              <m:r>
                <m:t> i</m:t>
              </m:r>
            </m:sub>
          </m:sSub>
          <m:sSub>
            <m:e>
              <m:r>
                <m:t> f</m:t>
              </m:r>
            </m:e>
            <m:sub>
              <m:r>
                <m:t>π</m:t>
              </m:r>
            </m:sub>
          </m:sSub>
          <m:sSub>
            <m:e>
              <m:r>
                <m:t>([s;h</m:t>
              </m:r>
            </m:e>
            <m:sub>
              <m:r>
                <m:t>i</m:t>
              </m:r>
            </m:sub>
          </m:sSub>
          <m:sSub>
            <m:e>
              <m:r>
                <m:t>;h</m:t>
              </m:r>
            </m:e>
            <m:sub>
              <m:r>
                <m:t>j</m:t>
              </m:r>
            </m:sub>
          </m:sSub>
          <m:sSub>
            <m:e>
              <m:r>
                <m:t>;h</m:t>
              </m:r>
            </m:e>
            <m:sub>
              <m:r>
                <m:t>j</m:t>
              </m:r>
            </m:sub>
          </m:sSub>
          <m:sSub>
            <m:e>
              <m:r>
                <m:t>-h</m:t>
              </m:r>
            </m:e>
            <m:sub>
              <m:r>
                <m:t>i</m:t>
              </m:r>
            </m:sub>
          </m:sSub>
          <m:sSub>
            <m:e>
              <m:r>
                <m:t>;h</m:t>
              </m:r>
            </m:e>
            <m:sub>
              <m:r>
                <m:t>i</m:t>
              </m:r>
            </m:sub>
          </m:sSub>
          <m:r>
            <m:t>⊙</m:t>
          </m:r>
          <m:sSub>
            <m:e>
              <m:r>
                <m:t> h</m:t>
              </m:r>
            </m:e>
            <m:sub>
              <m:r>
                <m:t>j</m:t>
              </m:r>
            </m:sub>
          </m:sSub>
          <m:sSubSup>
            <m:e>
              <m:r>
                <m:t>;q</m:t>
              </m:r>
            </m:e>
            <m:sub>
              <m:r>
                <m:t>i</m:t>
              </m:r>
            </m:sub>
            <m:sup>
              <m:r>
                <m:t>T</m:t>
              </m:r>
            </m:sup>
          </m:sSubSup>
          <m:sSubSup>
            <m:e>
              <m:r>
                <m:t>;q</m:t>
              </m:r>
            </m:e>
            <m:sub>
              <m:r>
                <m:t>j</m:t>
              </m:r>
            </m:sub>
            <m:sup>
              <m:r>
                <m:t>S</m:t>
              </m:r>
            </m:sup>
          </m:sSubSup>
          <m:sSub>
            <m:e>
              <m:r>
                <m:t>;a</m:t>
              </m:r>
            </m:e>
            <m:sub>
              <m:r>
                <m:t>τ</m:t>
              </m:r>
            </m:sub>
          </m:sSub>
          <m:r>
            <m:t>])</m:t>
          </m:r>
        </m:oMath>
      </m:oMathPara>
    </w:p>
    <w:p>
      <w:pPr>
        <w:pStyle w:val="Para"/>
      </w:pPr>
      <w:r>
        <w:t>其中 rho_(i,tau) 是目标任务—预测步级别的总体共享强度；pi_(i&lt;-j,tau) 是来源任务 j 指向目标任务 i 的相对分配，并且只在 j ≠ i 的候选来源上进行 softmax。最终的有向门控为：</w:t>
      </w:r>
    </w:p>
    <w:p>
      <w:pPr>
        <w:pStyle w:val="Para"/>
      </w:pPr>
      <m:oMathPara>
        <m:oMath>
          <m:sSub>
            <m:e>
              <m:r>
                <m:t>G</m:t>
              </m:r>
            </m:e>
            <m:sub>
              <m:r>
                <m:t>i</m:t>
              </m:r>
              <m:r>
                <m:t>←</m:t>
              </m:r>
              <m:r>
                <m:t> j,</m:t>
              </m:r>
              <m:r>
                <m:t>τ</m:t>
              </m:r>
            </m:sub>
          </m:sSub>
          <m:r>
            <m:t> = </m:t>
          </m:r>
          <m:sSub>
            <m:e>
              <m:r>
                <m:t>ρ</m:t>
              </m:r>
            </m:e>
            <m:sub>
              <m:r>
                <m:t>i,</m:t>
              </m:r>
              <m:r>
                <m:t>τ</m:t>
              </m:r>
            </m:sub>
          </m:sSub>
          <m:sSub>
            <m:e>
              <m:r>
                <m:t>π</m:t>
              </m:r>
            </m:e>
            <m:sub>
              <m:r>
                <m:t>i</m:t>
              </m:r>
              <m:r>
                <m:t>←</m:t>
              </m:r>
              <m:r>
                <m:t> j,</m:t>
              </m:r>
              <m:r>
                <m:t>τ</m:t>
              </m:r>
            </m:sub>
          </m:sSub>
          <m:r>
            <m:t> </m:t>
          </m:r>
          <m:r>
            <m:t>(j</m:t>
          </m:r>
          <m:r>
            <m:t>≠</m:t>
          </m:r>
          <m:r>
            <m:t> i), </m:t>
          </m:r>
          <m:r>
            <m:t> </m:t>
          </m:r>
          <m:sSub>
            <m:e>
              <m:r>
                <m:t> G</m:t>
              </m:r>
            </m:e>
            <m:sub>
              <m:r>
                <m:t>i</m:t>
              </m:r>
              <m:r>
                <m:t>←</m:t>
              </m:r>
              <m:r>
                <m:t> i,</m:t>
              </m:r>
              <m:r>
                <m:t>τ</m:t>
              </m:r>
            </m:sub>
          </m:sSub>
          <m:r>
            <m:t>=0</m:t>
          </m:r>
        </m:oMath>
      </m:oMathPara>
    </w:p>
    <w:p>
      <w:pPr>
        <w:pStyle w:val="Para"/>
      </w:pPr>
      <w:r>
        <w:t>因此一般有 G_(i&lt;-j,tau) != G_(j&lt;-i,tau)。路由器是以状态和任务关系特征为输入的轻量 MLP，不是 Transformer 的时间自注意力层；它输出的是跨任务消息传递强度，而不是时间位置之间的注意力矩阵。</w:t>
      </w:r>
    </w:p>
    <w:p>
      <w:pPr>
        <w:pStyle w:val="Head3"/>
      </w:pPr>
      <w:r>
        <w:t>3.2.5 低秩有向消息投影与稳定残差融合</w:t>
      </w:r>
    </w:p>
    <w:p>
      <w:pPr>
        <w:pStyle w:val="Para"/>
      </w:pPr>
      <w:r>
        <w:t>门控只决定传递强度，还需要把来源任务的表示转换为目标任务可以使用的消息。为降低四任务全连接投影的参数量，模型采用低秩有向投影：先用来源任务专属下投影把 32 维表示压缩到 r = 8 维，再使用目标—来源任务对的可学习缩放向量调节各低秩通道，最后由目标任务专属上投影恢复到 32 维。</w:t>
      </w:r>
    </w:p>
    <w:p>
      <w:pPr>
        <w:pStyle w:val="Para"/>
      </w:pPr>
      <m:oMathPara>
        <m:oMath>
          <m:sSub>
            <m:e>
              <m:r>
                <m:t>m</m:t>
              </m:r>
            </m:e>
            <m:sub>
              <m:r>
                <m:t>i</m:t>
              </m:r>
              <m:r>
                <m:t>←</m:t>
              </m:r>
              <m:r>
                <m:t> j</m:t>
              </m:r>
            </m:sub>
          </m:sSub>
          <m:sSub>
            <m:e>
              <m:r>
                <m:t>=U</m:t>
              </m:r>
            </m:e>
            <m:sub>
              <m:r>
                <m:t>i</m:t>
              </m:r>
            </m:sub>
          </m:sSub>
          <m:sSub>
            <m:e>
              <m:r>
                <m:t>(a</m:t>
              </m:r>
            </m:e>
            <m:sub>
              <m:r>
                <m:t>i,j</m:t>
              </m:r>
            </m:sub>
          </m:sSub>
          <m:r>
            <m:t>⊙</m:t>
          </m:r>
          <m:sSub>
            <m:e>
              <m:r>
                <m:t>(V</m:t>
              </m:r>
            </m:e>
            <m:sub>
              <m:r>
                <m:t>j</m:t>
              </m:r>
            </m:sub>
          </m:sSub>
          <m:sSub>
            <m:e>
              <m:r>
                <m:t>h</m:t>
              </m:r>
            </m:e>
            <m:sub>
              <m:r>
                <m:t>j</m:t>
              </m:r>
            </m:sub>
          </m:sSub>
          <m:r>
            <m:t>)), </m:t>
          </m:r>
          <m:r>
            <m:t> </m:t>
          </m:r>
          <m:sSub>
            <m:e>
              <m:r>
                <m:t> V</m:t>
              </m:r>
            </m:e>
            <m:sub>
              <m:r>
                <m:t>j</m:t>
              </m:r>
            </m:sub>
          </m:sSub>
          <m:r>
            <m:t>:</m:t>
          </m:r>
          <m:sSup>
            <m:e>
              <m:r>
                <m:t>R</m:t>
              </m:r>
            </m:e>
            <m:sup>
              <m:r>
                <m:t>32</m:t>
              </m:r>
            </m:sup>
          </m:sSup>
          <m:r>
            <m:t>→</m:t>
          </m:r>
          <m:sSup>
            <m:e>
              <m:r>
                <m:t>R</m:t>
              </m:r>
            </m:e>
            <m:sup>
              <m:r>
                <m:t>8</m:t>
              </m:r>
            </m:sup>
          </m:sSup>
          <m:r>
            <m:t>, </m:t>
          </m:r>
          <m:r>
            <m:t> </m:t>
          </m:r>
          <m:sSub>
            <m:e>
              <m:r>
                <m:t> U</m:t>
              </m:r>
            </m:e>
            <m:sub>
              <m:r>
                <m:t>i</m:t>
              </m:r>
            </m:sub>
          </m:sSub>
          <m:r>
            <m:t>:</m:t>
          </m:r>
          <m:sSup>
            <m:e>
              <m:r>
                <m:t>R</m:t>
              </m:r>
            </m:e>
            <m:sup>
              <m:r>
                <m:t>8</m:t>
              </m:r>
            </m:sup>
          </m:sSup>
          <m:r>
            <m:t>→</m:t>
          </m:r>
          <m:sSup>
            <m:e>
              <m:r>
                <m:t>R</m:t>
              </m:r>
            </m:e>
            <m:sup>
              <m:r>
                <m:t>32</m:t>
              </m:r>
            </m:sup>
          </m:sSup>
        </m:oMath>
      </m:oMathPara>
    </w:p>
    <w:p>
      <w:pPr>
        <w:pStyle w:val="Para"/>
      </w:pPr>
      <w:r>
        <w:t>对每个目标任务 i 和预测步 tau，模型先使用 pi_(i&lt;-j,tau) 对所有来源消息求和，再进行 LayerNorm，并通过一个初始化为很小正值的任务残差系数 alpha_i 注入目标表示：</w:t>
      </w:r>
    </w:p>
    <w:p>
      <w:pPr>
        <w:pStyle w:val="Para"/>
      </w:pPr>
      <m:oMathPara>
        <m:oMath>
          <m:sSub>
            <m:e>
              <m:r>
                <m:t>m</m:t>
              </m:r>
            </m:e>
            <m:sub>
              <m:r>
                <m:t>i,</m:t>
              </m:r>
              <m:r>
                <m:t>τ</m:t>
              </m:r>
            </m:sub>
          </m:sSub>
          <m:r>
            <m:t>=</m:t>
          </m:r>
          <m:r>
            <m:t>LayerNorm</m:t>
          </m:r>
          <m:r>
            <m:t>(</m:t>
          </m:r>
          <m:sSub>
            <m:e>
              <m:r>
                <m:t>∑</m:t>
              </m:r>
            </m:e>
            <m:sub>
              <m:r>
                <m:t>j</m:t>
              </m:r>
              <m:r>
                <m:t>≠</m:t>
              </m:r>
              <m:r>
                <m:t> i</m:t>
              </m:r>
            </m:sub>
          </m:sSub>
          <m:sSub>
            <m:e>
              <m:r>
                <m:t>π</m:t>
              </m:r>
            </m:e>
            <m:sub>
              <m:r>
                <m:t>i</m:t>
              </m:r>
              <m:r>
                <m:t>←</m:t>
              </m:r>
              <m:r>
                <m:t> j,</m:t>
              </m:r>
              <m:r>
                <m:t>τ</m:t>
              </m:r>
            </m:sub>
          </m:sSub>
          <m:sSub>
            <m:e>
              <m:r>
                <m:t>m</m:t>
              </m:r>
            </m:e>
            <m:sub>
              <m:r>
                <m:t>i</m:t>
              </m:r>
              <m:r>
                <m:t>←</m:t>
              </m:r>
              <m:r>
                <m:t> j</m:t>
              </m:r>
            </m:sub>
          </m:sSub>
          <m:r>
            <m:t>)</m:t>
          </m:r>
        </m:oMath>
      </m:oMathPara>
    </w:p>
    <w:p>
      <w:pPr>
        <w:pStyle w:val="Para"/>
      </w:pPr>
      <m:oMathPara>
        <m:oMath>
          <m:sSub>
            <m:e>
              <m:acc>
                <m:accPr>
                  <m:chr m:val="~"/>
                </m:accPr>
                <m:e>
                  <m:r>
                    <m:t>h</m:t>
                  </m:r>
                </m:e>
              </m:acc>
            </m:e>
            <m:sub>
              <m:r>
                <m:t>i,</m:t>
              </m:r>
              <m:r>
                <m:t>τ</m:t>
              </m:r>
            </m:sub>
          </m:sSub>
          <m:sSub>
            <m:e>
              <m:r>
                <m:t>=h</m:t>
              </m:r>
            </m:e>
            <m:sub>
              <m:r>
                <m:t>i</m:t>
              </m:r>
            </m:sub>
          </m:sSub>
          <m:r>
            <m:t>+</m:t>
          </m:r>
          <m:sSub>
            <m:e>
              <m:r>
                <m:t>α</m:t>
              </m:r>
            </m:e>
            <m:sub>
              <m:r>
                <m:t>i</m:t>
              </m:r>
            </m:sub>
          </m:sSub>
          <m:sSub>
            <m:e>
              <m:r>
                <m:t>ρ</m:t>
              </m:r>
            </m:e>
            <m:sub>
              <m:r>
                <m:t>i,</m:t>
              </m:r>
              <m:r>
                <m:t>τ</m:t>
              </m:r>
            </m:sub>
          </m:sSub>
          <m:sSub>
            <m:e>
              <m:r>
                <m:t>m</m:t>
              </m:r>
            </m:e>
            <m:sub>
              <m:r>
                <m:t>i,</m:t>
              </m:r>
              <m:r>
                <m:t>τ</m:t>
              </m:r>
            </m:sub>
          </m:sSub>
        </m:oMath>
      </m:oMathPara>
    </w:p>
    <w:p>
      <w:pPr>
        <w:pStyle w:val="Para"/>
      </w:pPr>
      <w:r>
        <w:t>该结构保留了明确的独立路径 h_i，同时提供状态相关的跨任务补充路径。若 rho_(i,tau) 接近 0，该目标任务—预测步基本退化为单任务预测；只有在路由器判断跨任务信息有帮助时，跨任务消息才会以受控的残差形式进入目标任务。</w:t>
      </w:r>
    </w:p>
    <w:p>
      <w:pPr>
        <w:pStyle w:val="Head3"/>
      </w:pPr>
      <w:r>
        <w:t>3.2.6 任务—预测步专属预测头与输出</w:t>
      </w:r>
    </w:p>
    <w:p>
      <w:pPr>
        <w:pStyle w:val="Para"/>
      </w:pPr>
      <w:r>
        <w:t>融合表示按预测步展开，形状为 [B, H, M, 32]，在当前设置下为 [B, 4, 4, 32]。模型不使用一个共享线性层把 32 维表示直接压缩成四个预测值，而是为每一个任务和每一个预测步配置一个小型标量预测头，共 4 x 4 = 16 个头。每个头的结构为 32 -&gt; 16 -&gt; GELU -&gt; 1：</w:t>
      </w:r>
    </w:p>
    <w:p>
      <w:pPr>
        <w:pStyle w:val="Para"/>
      </w:pPr>
      <m:oMathPara>
        <m:oMath>
          <m:sSub>
            <m:e>
              <m:acc>
                <m:accPr>
                  <m:chr m:val="^"/>
                </m:accPr>
                <m:e>
                  <m:r>
                    <m:t>y</m:t>
                  </m:r>
                </m:e>
              </m:acc>
            </m:e>
            <m:sub>
              <m:r>
                <m:t>i,</m:t>
              </m:r>
              <m:r>
                <m:t>τ</m:t>
              </m:r>
            </m:sub>
          </m:sSub>
          <m:sSub>
            <m:e>
              <m:r>
                <m:t>=q</m:t>
              </m:r>
            </m:e>
            <m:sub>
              <m:r>
                <m:t>i,</m:t>
              </m:r>
              <m:r>
                <m:t>τ</m:t>
              </m:r>
            </m:sub>
          </m:sSub>
          <m:r>
            <m:t>(</m:t>
          </m:r>
          <m:sSub>
            <m:e>
              <m:acc>
                <m:accPr>
                  <m:chr m:val="~"/>
                </m:accPr>
                <m:e>
                  <m:r>
                    <m:t>h</m:t>
                  </m:r>
                </m:e>
              </m:acc>
            </m:e>
            <m:sub>
              <m:r>
                <m:t>i,</m:t>
              </m:r>
              <m:r>
                <m:t>τ</m:t>
              </m:r>
            </m:sub>
          </m:sSub>
          <m:r>
            <m:t>), </m:t>
          </m:r>
          <m:r>
            <m:t> </m:t>
          </m:r>
          <m:sSub>
            <m:e>
              <m:r>
                <m:t> q</m:t>
              </m:r>
            </m:e>
            <m:sub>
              <m:r>
                <m:t>i,</m:t>
              </m:r>
              <m:r>
                <m:t>τ</m:t>
              </m:r>
            </m:sub>
          </m:sSub>
          <m:r>
            <m:t>:</m:t>
          </m:r>
          <m:sSup>
            <m:e>
              <m:r>
                <m:t>R</m:t>
              </m:r>
            </m:e>
            <m:sup>
              <m:r>
                <m:t>32</m:t>
              </m:r>
            </m:sup>
          </m:sSup>
          <m:r>
            <m:t>→</m:t>
          </m:r>
          <m:sSup>
            <m:e>
              <m:r>
                <m:t>R</m:t>
              </m:r>
            </m:e>
            <m:sup>
              <m:r>
                <m:t>16</m:t>
              </m:r>
            </m:sup>
          </m:sSup>
          <m:r>
            <m:t>→</m:t>
          </m:r>
          <m:r>
            <m:t>GELU</m:t>
          </m:r>
          <m:r>
            <m:t>→</m:t>
          </m:r>
          <m:sSup>
            <m:e>
              <m:r>
                <m:t>R</m:t>
              </m:r>
            </m:e>
            <m:sup>
              <m:r>
                <m:t>1</m:t>
              </m:r>
            </m:sup>
          </m:sSup>
        </m:oMath>
      </m:oMathPara>
    </w:p>
    <w:p>
      <w:pPr>
        <w:pStyle w:val="Para"/>
      </w:pPr>
      <m:oMathPara>
        <m:oMath>
          <m:acc>
            <m:accPr>
              <m:chr m:val="^"/>
            </m:accPr>
            <m:e>
              <m:r>
                <m:t>Y</m:t>
              </m:r>
            </m:e>
          </m:acc>
          <m:r>
            <m:t>=[</m:t>
          </m:r>
          <m:sSub>
            <m:e>
              <m:acc>
                <m:accPr>
                  <m:chr m:val="^"/>
                </m:accPr>
                <m:e>
                  <m:r>
                    <m:t>y</m:t>
                  </m:r>
                </m:e>
              </m:acc>
            </m:e>
            <m:sub>
              <m:r>
                <m:t>i,</m:t>
              </m:r>
              <m:r>
                <m:t>τ</m:t>
              </m:r>
            </m:sub>
          </m:sSub>
          <m:sSub>
            <m:e>
              <m:r>
                <m:t>]</m:t>
              </m:r>
            </m:e>
            <m:sub>
              <m:r>
                <m:t>τ</m:t>
              </m:r>
              <m:r>
                <m:t>=1</m:t>
              </m:r>
              <m:r>
                <m:t>…</m:t>
              </m:r>
              <m:r>
                <m:t>4,</m:t>
              </m:r>
              <m:r>
                <m:t> </m:t>
              </m:r>
              <m:r>
                <m:t>i</m:t>
              </m:r>
              <m:r>
                <m:t>∈</m:t>
              </m:r>
              <m:r>
                <m:t>{</m:t>
              </m:r>
              <m:r>
                <m:t>e,c,h,g</m:t>
              </m:r>
              <m:r>
                <m:t>}</m:t>
              </m:r>
            </m:sub>
          </m:sSub>
          <m:r>
            <m:t> </m:t>
          </m:r>
          <m:r>
            <m:t>∈</m:t>
          </m:r>
          <m:r>
            <m:t> </m:t>
          </m:r>
          <m:sSup>
            <m:e>
              <m:r>
                <m:t>R</m:t>
              </m:r>
            </m:e>
            <m:sup>
              <m:r>
                <m:t>H</m:t>
              </m:r>
              <m:r>
                <m:t>×</m:t>
              </m:r>
              <m:r>
                <m:t> M</m:t>
              </m:r>
            </m:sup>
          </m:sSup>
          <m:r>
            <m:t>=</m:t>
          </m:r>
          <m:sSup>
            <m:e>
              <m:r>
                <m:t>R</m:t>
              </m:r>
            </m:e>
            <m:sup>
              <m:r>
                <m:t>4</m:t>
              </m:r>
              <m:r>
                <m:t>×</m:t>
              </m:r>
              <m:r>
                <m:t>4</m:t>
              </m:r>
            </m:sup>
          </m:sSup>
        </m:oMath>
      </m:oMathPara>
    </w:p>
    <w:p>
      <w:pPr>
        <w:pStyle w:val="Para"/>
      </w:pPr>
      <w:r>
        <w:t>输出张量的第二维是未来预测步，第三维是任务。按照固定任务顺序，prediction[:, 0, 0] 表示未来第 1 步电负荷，prediction[:, 3, 2] 表示未来第 4 步热负荷。这一排列与数据管线中的 target [batch, 4, 4] 保持一致，可直接进行逐任务、逐预测步和总体指标计算。</w:t>
      </w:r>
    </w:p>
    <w:p>
      <w:pPr>
        <w:pStyle w:val="Head3"/>
      </w:pPr>
      <w:r>
        <w:t>3.2.7 整体前向流程</w:t>
      </w:r>
    </w:p>
    <w:p>
      <w:pPr>
        <w:pStyle w:val="Para"/>
      </w:pPr>
      <w:r>
        <w:t>将上述模块连接起来，Scheme2R 的前向计算可概括为：四个任务独立编码历史负荷和外生变量；状态编码器总结当前窗口状态；预测步嵌入和任务角色嵌入补充路由上下文；两级有向路由输出总体共享强度和来源分配；低秩投影生成方向相关的跨任务消息；残差融合得到每个任务、每个预测步的增强表示；16 个任务—预测步专属预测头输出四类负荷未来四步预测。</w:t>
      </w:r>
    </w:p>
    <w:p>
      <w:pPr>
        <w:pStyle w:val="Para"/>
      </w:pPr>
      <m:oMathPara>
        <m:oMath>
          <m:r>
            <m:t>([B,24,4],[B,24,G])</m:t>
          </m:r>
          <m:r>
            <m:t>→</m:t>
          </m:r>
          <m:r>
            <m:t>[B,4,32],</m:t>
          </m:r>
          <m:r>
            <m:t> </m:t>
          </m:r>
          <m:r>
            <m:t>[B,16],</m:t>
          </m:r>
          <m:r>
            <m:t> </m:t>
          </m:r>
          <m:r>
            <m:t>[4,4],</m:t>
          </m:r>
          <m:r>
            <m:t> </m:t>
          </m:r>
          <m:r>
            <m:t>[4,8],</m:t>
          </m:r>
          <m:r>
            <m:t> </m:t>
          </m:r>
          <m:r>
            <m:t>[4,8]</m:t>
          </m:r>
          <m:r>
            <m:t>→</m:t>
          </m:r>
          <m:r>
            <m:t>[B,4,4,32]</m:t>
          </m:r>
          <m:r>
            <m:t>→</m:t>
          </m:r>
          <m:r>
            <m:t>[B,4,4]</m:t>
          </m:r>
        </m:oMath>
      </m:oMathPara>
    </w:p>
    <w:p>
      <w:pPr>
        <w:pStyle w:val="Para"/>
      </w:pPr>
      <w:r>
        <w:t>其中 [B,24,4] 是四类负荷的历史窗口，[B,24,G] 是历史外生变量窗口；四个独立编码器输出任务表示 [B,4,32]，状态编码器输出 [B,16]，预测步嵌入为 [4,4]，目标和来源角色嵌入均为 [4,8]。这些是路由器的多路条件输入，并非彼此逐元素相加；路由和融合后得到 [B,4,4,32]，最终 [B,4,4]是未来四步的电、冷、热、气负荷预测。</w:t>
      </w:r>
    </w:p>
    <w:p>
      <w:pPr>
        <w:pStyle w:val="Para"/>
      </w:pPr>
      <w:r>
        <w:t>综上，所提网络的核心不是无条件地混合所有任务，而是在保留任务独立时间编码的基础上，根据当前状态、任务角色和预测步长动态决定跨任务信息是否传递、从哪个来源任务传递以及传递多少。</w:t>
      </w:r>
    </w:p>
    <w:p>
      <w:pPr>
        <w:pStyle w:val="Referencetitle"/>
      </w:pPr>
      <w:r>
        <w:t>REFERENCES</w:t>
      </w:r>
    </w:p>
    <w:p>
      <w:pPr>
        <w:pStyle w:val="Referenceitem"/>
      </w:pPr>
      <w:r>
        <w:t>[1] DUAN P, ZHAO X, HU J, et al. Multi-energy load forecasting incorporating AI algorithms: research status and trends in integrated energy systems[J]. Renewable and Sustainable Energy Reviews, 2026, 229: 116611. DOI: 10.1016/j.rser.2025.116611.</w:t>
      </w:r>
    </w:p>
    <w:p>
      <w:pPr>
        <w:pStyle w:val="Referenceitem"/>
      </w:pPr>
      <w:r>
        <w:t>[2] ZHANG W, CAI Y, ZHAN H, et al. Multi-energy load forecasting for small-sample integrated energy systems based on neural network Gaussian process and multi-task learning[J]. Energy Conversion and Management, 2024, 321: 119027. DOI: 10.1016/j.enconman.2024.119027.</w:t>
      </w:r>
    </w:p>
    <w:p>
      <w:pPr>
        <w:pStyle w:val="Referenceitem"/>
      </w:pPr>
      <w:r>
        <w:t>[3] KIM H J, KIM D, TAK H, et al. Global-local attention-enabled multiple decoder Transformer for multi-energy load forecasting in user-level integrated energy system[J]. Applied Energy, 2025, 396: 126255. DOI: 10.1016/j.apenergy.2025.126255.</w:t>
      </w:r>
    </w:p>
    <w:p>
      <w:pPr>
        <w:pStyle w:val="Referenceitem"/>
      </w:pPr>
      <w:r>
        <w:t>[4] GU Z, SHEN Y, WANG Z, et al. Load forecasting model considering dynamic coupling relationships using structured dynamic-inner latent variables and broad learning system[J]. Engineering Applications of Artificial Intelligence, 2024, 133: 108180. DOI: 10.1016/j.engappai.2024.108180.</w:t>
      </w:r>
    </w:p>
    <w:p>
      <w:pPr>
        <w:pStyle w:val="Referenceitem"/>
      </w:pPr>
      <w:r>
        <w:t>[5] HUANG N, REN S, LIU J, et al. Multi-task learning and single-task learning joint multi-energy load forecasting of integrated energy systems considering meteorological variations[J]. Expert Systems with Applications, 2025, 288: 128269. DOI: 10.1016/j.eswa.2025.128269.</w:t>
      </w:r>
    </w:p>
    <w:p>
      <w:pPr>
        <w:pStyle w:val="Referenceitem"/>
      </w:pPr>
      <w:r>
        <w:t>[6] SONG C, YANG H, CAI J, et al. Multi-energy load forecasting via hierarchical multi-task learning and spatiotemporal attention[J]. Applied Energy, 2024, 373: 123788. DOI: 10.1016/j.apenergy.2024.123788.</w:t>
      </w:r>
    </w:p>
    <w:p>
      <w:pPr>
        <w:pStyle w:val="Referenceitem"/>
      </w:pPr>
      <w:r>
        <w:t>[7] ZENG X, JI G, ZHOU Y, et al. Multi-load forecasting for integrated energy systems based on GAT-MTL[J]. The Journal of Engineering, 2025, 2025(1): e70050. DOI: 10.1049/tje2.70050.</w:t>
      </w:r>
    </w:p>
    <w:p>
      <w:pPr>
        <w:pStyle w:val="Referenceitem"/>
      </w:pPr>
      <w:r>
        <w:t>[8] LIU Y, HU T, ZHANG H, et al. iTransformer: Inverted Transformers Are Effective for Time Series Forecasting[C/OL]//The Twelfth International Conference on Learning Representations. 2024. Available: https://proceedings.iclr.cc/paper_files/paper/2024/hash/2ea18fdc667e0ef2ad82b2b4d65147ad-Abstract-Conference.html.</w:t>
      </w:r>
    </w:p>
    <w:p>
      <w:pPr>
        <w:pStyle w:val="Referenceitem"/>
      </w:pPr>
      <w:r>
        <w:t>[9] ZHAO L, SHEN Y. Rethinking Channel Dependence for Multivariate Time Series Forecasting: Learning from Leading Indicators[C/OL]//The Twelfth International Conference on Learning Representations. 2024. Available: https://proceedings.iclr.cc/paper_files/paper/2024/hash/b52b07a239a7afa155ca25cf17a55074-Abstract-Conference.html.</w:t>
      </w:r>
    </w:p>
    <w:p>
      <w:pPr>
        <w:pStyle w:val="Referenceitem"/>
      </w:pPr>
      <w:r>
        <w:t>[10] HAN L, CHEN X Y, YE H J, et al. SOFTS: Efficient Multivariate Time Series Forecasting with Series-Core Fusion[C/OL]//Advances in Neural Information Processing Systems 37. 2024: 64145-64175. Available: https://proceedings.neurips.cc/paper_files/paper/2024/hash/754612bde73a8b65ad8743f1f6d8ddf6-Abstract-Conference.html.</w:t>
      </w:r>
    </w:p>
    <w:p>
      <w:pPr>
        <w:pStyle w:val="Referenceitem"/>
      </w:pPr>
      <w:r>
        <w:t>[11] WANG C, WANG Y, ZIO E, et al. Short-term load forecasting method for integrated energy systems based on graph neural network and multi-task balance[J]. International Journal of Electrical Power &amp; Energy Systems, 2025, 172: 111195. DOI: 10.1016/j.ijepes.2025.111195.</w:t>
      </w:r>
    </w:p>
    <w:p>
      <w:pPr>
        <w:pStyle w:val="Referenceitem"/>
      </w:pPr>
      <w:r>
        <w:t>[12] SHAO Y, JI M, JIANG C, et al. A Frequency-enhanced Multi-task Mixture-of-Experts Network for Multi-energy Load Forecasting under Small-sample Scenarios[C]//2025 10th International Conference on Power and Renewable Energy. Piscataway: IEEE, 2025: 752-758. DOI: 10.1109/ICPRE67300.2025.11274001.</w:t>
      </w:r>
    </w:p>
    <w:p>
      <w:pPr>
        <w:pStyle w:val="Referenceitem"/>
      </w:pPr>
      <w:r>
        <w:t>[13] BAN H, JI K. Fair Resource Allocation in Multi-Task Learning[C/OL]//Proceedings of the 41st International Conference on Machine Learning. PMLR, 2024, 235: 2715-2731. Available: https://proceedings.mlr.press/v235/ban24a.html.</w:t>
      </w:r>
    </w:p>
    <w:p>
      <w:pPr>
        <w:pStyle w:val="Referenceitem"/>
      </w:pPr>
      <w:r>
        <w:t>[14] NOCHUMSOHN L, ZISLING H, AZENCOT O. A Multi-Task Learning Approach to Linear Multivariate Forecasting[C/OL]//Proceedings of the 28th International Conference on Artificial Intelligence and Statistics. PMLR, 2025, 258: 2638-2646. Available: https://proceedings.mlr.press/v258/nochumsohn25a.html.</w:t>
      </w:r>
    </w:p>
    <w:p>
      <w:pPr>
        <w:pStyle w:val="Referenceitem"/>
      </w:pPr>
      <w:r>
        <w:t>[15] LIAO W, JIN X, RAN Y, et al. A twenty-year dataset of hourly energy generation and consumption from district campus building energy systems[J]. Scientific Data, 2024, 11: 1400. DOI: 10.1038/s41597-024-04244-6. Dataset DOI: 10.6084/m9.figshare.24978645.</w:t>
      </w:r>
    </w:p>
    <w:sectPr w:rsidR="004E7300">
      <w:type w:val="continuous"/>
      <w:pgSz w:w="11906" w:h="16838"/>
      <w:pgMar w:top="1440" w:right="1195" w:bottom="1440" w:left="1195" w:header="0" w:footer="720" w:gutter="0"/>
      <w:cols w:space="425"/>
      <w:formProt w:val="0"/>
      <w:titlePg/>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32634" w14:textId="77777777" w:rsidR="007362C1" w:rsidRDefault="007362C1">
      <w:pPr>
        <w:spacing w:line="240" w:lineRule="auto"/>
      </w:pPr>
      <w:r>
        <w:separator/>
      </w:r>
    </w:p>
  </w:endnote>
  <w:endnote w:type="continuationSeparator" w:id="0">
    <w:p w14:paraId="1497FA0D" w14:textId="77777777" w:rsidR="007362C1" w:rsidRDefault="007362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w:altName w:val="Lucida Sans Unicode"/>
    <w:panose1 w:val="020B0602030504020204"/>
    <w:charset w:val="00"/>
    <w:family w:val="swiss"/>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Helvetica Neue LT Std">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 w:name="NimbusRomNo9L-Regu">
    <w:altName w:val="Segoe Print"/>
    <w:charset w:val="00"/>
    <w:family w:val="roman"/>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Segoe Print"/>
    <w:charset w:val="00"/>
    <w:family w:val="swiss"/>
    <w:pitch w:val="default"/>
    <w:sig w:usb0="00000000" w:usb1="00000000" w:usb2="00000021" w:usb3="00000000" w:csb0="000001B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inion Pro">
    <w:altName w:val="Cambria"/>
    <w:charset w:val="00"/>
    <w:family w:val="roman"/>
    <w:pitch w:val="default"/>
    <w:sig w:usb0="00000000" w:usb1="00000000"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roman"/>
    <w:pitch w:val="default"/>
    <w:sig w:usb0="00000000"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FE956" w14:textId="77777777" w:rsidR="008860D6" w:rsidRDefault="008860D6">
    <w:pPr>
      <w:pStyle w:val="aa"/>
      <w:ind w:right="179"/>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A450E" w14:textId="77777777" w:rsidR="008860D6" w:rsidRDefault="008860D6">
    <w:pPr>
      <w:pStyle w:val="aa"/>
      <w:ind w:right="180"/>
      <w:jc w:val="right"/>
      <w:rPr>
        <w:lang w:val="fr-C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865BB6" w14:textId="77777777" w:rsidR="007362C1" w:rsidRDefault="007362C1">
      <w:pPr>
        <w:spacing w:after="0"/>
      </w:pPr>
      <w:r>
        <w:separator/>
      </w:r>
    </w:p>
  </w:footnote>
  <w:footnote w:type="continuationSeparator" w:id="0">
    <w:p w14:paraId="71B52E10" w14:textId="77777777" w:rsidR="007362C1" w:rsidRDefault="007362C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08310" w14:textId="77777777" w:rsidR="008860D6" w:rsidRDefault="00000000">
    <w:pPr>
      <w:tabs>
        <w:tab w:val="right" w:pos="8844"/>
      </w:tabs>
      <w:snapToGrid w:val="0"/>
      <w:spacing w:after="240" w:line="240" w:lineRule="auto"/>
      <w:rPr>
        <w:rFonts w:ascii="Palatino Linotype" w:eastAsia="Times New Roman" w:hAnsi="Palatino Linotype"/>
        <w:color w:val="000000"/>
        <w:sz w:val="16"/>
        <w:szCs w:val="20"/>
        <w:lang w:eastAsia="de-DE"/>
      </w:rPr>
    </w:pPr>
    <w:r>
      <w:rPr>
        <w:rFonts w:ascii="Palatino Linotype" w:eastAsia="Times New Roman" w:hAnsi="Palatino Linotype"/>
        <w:color w:val="000000"/>
        <w:sz w:val="16"/>
        <w:szCs w:val="20"/>
        <w:lang w:eastAsia="de-DE"/>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5EB6C" w14:textId="77777777" w:rsidR="008860D6" w:rsidRDefault="008860D6">
    <w:pPr>
      <w:pStyle w:val="ac"/>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30147"/>
    <w:multiLevelType w:val="singleLevel"/>
    <w:tmpl w:val="16430147"/>
    <w:lvl w:ilvl="0">
      <w:start w:val="5"/>
      <w:numFmt w:val="decimal"/>
      <w:suff w:val="space"/>
      <w:lvlText w:val="%1."/>
      <w:lvlJc w:val="left"/>
    </w:lvl>
  </w:abstractNum>
  <w:num w:numId="1" w16cid:durableId="366102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mFkMDcyMjZjYTNkODY3YTgyY2RkNTllZGIxYWJiYTcifQ=="/>
  </w:docVars>
  <w:rsids>
    <w:rsidRoot w:val="00895AC3"/>
    <w:rsid w:val="00001865"/>
    <w:rsid w:val="00016808"/>
    <w:rsid w:val="000265C1"/>
    <w:rsid w:val="000352DA"/>
    <w:rsid w:val="00070F50"/>
    <w:rsid w:val="00072966"/>
    <w:rsid w:val="000735E7"/>
    <w:rsid w:val="0007744A"/>
    <w:rsid w:val="00085F5D"/>
    <w:rsid w:val="0008740F"/>
    <w:rsid w:val="000B3E57"/>
    <w:rsid w:val="00165205"/>
    <w:rsid w:val="001978AD"/>
    <w:rsid w:val="001B047C"/>
    <w:rsid w:val="001C1EEF"/>
    <w:rsid w:val="001D4FA2"/>
    <w:rsid w:val="002002CE"/>
    <w:rsid w:val="00286BD0"/>
    <w:rsid w:val="002A6495"/>
    <w:rsid w:val="002F6ECD"/>
    <w:rsid w:val="00303FEA"/>
    <w:rsid w:val="0031671E"/>
    <w:rsid w:val="003D0720"/>
    <w:rsid w:val="00401EDA"/>
    <w:rsid w:val="00462DD7"/>
    <w:rsid w:val="004A31D0"/>
    <w:rsid w:val="004C00DA"/>
    <w:rsid w:val="004E7300"/>
    <w:rsid w:val="00524FEC"/>
    <w:rsid w:val="00563E29"/>
    <w:rsid w:val="005A169B"/>
    <w:rsid w:val="00605BC3"/>
    <w:rsid w:val="00656A53"/>
    <w:rsid w:val="00666C21"/>
    <w:rsid w:val="0066782E"/>
    <w:rsid w:val="006B3258"/>
    <w:rsid w:val="00710B59"/>
    <w:rsid w:val="0073045C"/>
    <w:rsid w:val="007362C1"/>
    <w:rsid w:val="00736833"/>
    <w:rsid w:val="007525B0"/>
    <w:rsid w:val="007A76F7"/>
    <w:rsid w:val="007D363B"/>
    <w:rsid w:val="007D543F"/>
    <w:rsid w:val="0081259C"/>
    <w:rsid w:val="00820693"/>
    <w:rsid w:val="00832C3B"/>
    <w:rsid w:val="0086534A"/>
    <w:rsid w:val="00882DA6"/>
    <w:rsid w:val="00884B95"/>
    <w:rsid w:val="008860D6"/>
    <w:rsid w:val="00895AC3"/>
    <w:rsid w:val="008F2451"/>
    <w:rsid w:val="008F54A1"/>
    <w:rsid w:val="00972C60"/>
    <w:rsid w:val="00981FA6"/>
    <w:rsid w:val="009B2913"/>
    <w:rsid w:val="009C2FB7"/>
    <w:rsid w:val="009F2E91"/>
    <w:rsid w:val="00A04F21"/>
    <w:rsid w:val="00A407CC"/>
    <w:rsid w:val="00A465B9"/>
    <w:rsid w:val="00A63DD1"/>
    <w:rsid w:val="00A93C5F"/>
    <w:rsid w:val="00AB334D"/>
    <w:rsid w:val="00AC1CE8"/>
    <w:rsid w:val="00AF1D6D"/>
    <w:rsid w:val="00B63DD1"/>
    <w:rsid w:val="00B90735"/>
    <w:rsid w:val="00BD5AEC"/>
    <w:rsid w:val="00C1202C"/>
    <w:rsid w:val="00C37288"/>
    <w:rsid w:val="00CB7388"/>
    <w:rsid w:val="00CF49FC"/>
    <w:rsid w:val="00D31BB3"/>
    <w:rsid w:val="00D32AF3"/>
    <w:rsid w:val="00D44DAE"/>
    <w:rsid w:val="00D534E8"/>
    <w:rsid w:val="00D5501B"/>
    <w:rsid w:val="00D92D6B"/>
    <w:rsid w:val="00D93582"/>
    <w:rsid w:val="00DA5311"/>
    <w:rsid w:val="00DC524A"/>
    <w:rsid w:val="00DE659A"/>
    <w:rsid w:val="00DE66A0"/>
    <w:rsid w:val="00E0600A"/>
    <w:rsid w:val="00E41F39"/>
    <w:rsid w:val="00E74E3C"/>
    <w:rsid w:val="00EA009B"/>
    <w:rsid w:val="00EA228A"/>
    <w:rsid w:val="00EA433D"/>
    <w:rsid w:val="00EE0B15"/>
    <w:rsid w:val="00F17C91"/>
    <w:rsid w:val="00F63620"/>
    <w:rsid w:val="00F64AD2"/>
    <w:rsid w:val="00F80543"/>
    <w:rsid w:val="00F95FED"/>
    <w:rsid w:val="00FB4F50"/>
    <w:rsid w:val="00FD37C7"/>
    <w:rsid w:val="00FF0B55"/>
    <w:rsid w:val="0905393B"/>
    <w:rsid w:val="22324D1B"/>
    <w:rsid w:val="494003EB"/>
    <w:rsid w:val="537522DF"/>
    <w:rsid w:val="700710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141AA"/>
  <w15:docId w15:val="{07372ED5-3338-45B1-A341-74529F195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等线"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Times New Roman" w:hAnsi="Times New Roman"/>
      <w:sz w:val="22"/>
      <w:szCs w:val="22"/>
      <w:lang w:eastAsia="en-US"/>
    </w:rPr>
  </w:style>
  <w:style w:type="paragraph" w:styleId="1">
    <w:name w:val="heading 1"/>
    <w:basedOn w:val="2"/>
    <w:next w:val="a0"/>
    <w:link w:val="10"/>
    <w:qFormat/>
    <w:pPr>
      <w:spacing w:before="360" w:after="0" w:line="240" w:lineRule="auto"/>
      <w:outlineLvl w:val="0"/>
    </w:pPr>
    <w:rPr>
      <w:rFonts w:ascii="Times New Roman" w:hAnsi="Times New Roman"/>
      <w:i w:val="0"/>
      <w:sz w:val="24"/>
      <w:szCs w:val="18"/>
    </w:rPr>
  </w:style>
  <w:style w:type="paragraph" w:styleId="2">
    <w:name w:val="heading 2"/>
    <w:basedOn w:val="a"/>
    <w:next w:val="a"/>
    <w:link w:val="20"/>
    <w:uiPriority w:val="9"/>
    <w:semiHidden/>
    <w:unhideWhenUsed/>
    <w:qFormat/>
    <w:pPr>
      <w:keepNext/>
      <w:spacing w:before="240" w:after="60"/>
      <w:outlineLvl w:val="1"/>
    </w:pPr>
    <w:rPr>
      <w:rFonts w:ascii="Calibri Light" w:eastAsia="Times New Roman" w:hAnsi="Calibri Light"/>
      <w:b/>
      <w:bCs/>
      <w:i/>
      <w:i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after="140" w:line="288" w:lineRule="auto"/>
    </w:pPr>
  </w:style>
  <w:style w:type="paragraph" w:styleId="a5">
    <w:name w:val="caption"/>
    <w:basedOn w:val="a"/>
    <w:next w:val="a"/>
    <w:qFormat/>
    <w:pPr>
      <w:suppressLineNumbers/>
      <w:spacing w:before="120" w:after="120"/>
    </w:pPr>
    <w:rPr>
      <w:rFonts w:cs="Lucida Sans"/>
      <w:i/>
      <w:iCs/>
      <w:sz w:val="24"/>
      <w:szCs w:val="24"/>
    </w:rPr>
  </w:style>
  <w:style w:type="paragraph" w:styleId="a6">
    <w:name w:val="annotation text"/>
    <w:basedOn w:val="a"/>
    <w:link w:val="a7"/>
    <w:uiPriority w:val="99"/>
    <w:semiHidden/>
    <w:unhideWhenUsed/>
    <w:qFormat/>
    <w:pPr>
      <w:spacing w:after="120" w:line="228" w:lineRule="auto"/>
      <w:ind w:firstLine="289"/>
    </w:pPr>
    <w:rPr>
      <w:rFonts w:eastAsia="宋体"/>
      <w:spacing w:val="-1"/>
      <w:sz w:val="20"/>
      <w:szCs w:val="24"/>
      <w:lang w:eastAsia="zh-CN"/>
    </w:rPr>
  </w:style>
  <w:style w:type="paragraph" w:styleId="a8">
    <w:name w:val="Balloon Text"/>
    <w:basedOn w:val="a"/>
    <w:link w:val="a9"/>
    <w:uiPriority w:val="99"/>
    <w:semiHidden/>
    <w:unhideWhenUsed/>
    <w:qFormat/>
    <w:pPr>
      <w:spacing w:after="120" w:line="228" w:lineRule="auto"/>
      <w:ind w:firstLine="289"/>
      <w:jc w:val="both"/>
    </w:pPr>
    <w:rPr>
      <w:rFonts w:eastAsia="宋体"/>
      <w:spacing w:val="-1"/>
      <w:sz w:val="18"/>
      <w:szCs w:val="18"/>
      <w:lang w:eastAsia="zh-CN"/>
    </w:rPr>
  </w:style>
  <w:style w:type="paragraph" w:styleId="aa">
    <w:name w:val="footer"/>
    <w:basedOn w:val="a"/>
    <w:link w:val="ab"/>
    <w:uiPriority w:val="99"/>
    <w:unhideWhenUsed/>
    <w:qFormat/>
    <w:pPr>
      <w:tabs>
        <w:tab w:val="center" w:pos="4153"/>
        <w:tab w:val="right" w:pos="8306"/>
      </w:tabs>
      <w:snapToGrid w:val="0"/>
      <w:spacing w:after="120" w:line="228" w:lineRule="auto"/>
      <w:ind w:firstLine="289"/>
    </w:pPr>
    <w:rPr>
      <w:rFonts w:eastAsia="宋体"/>
      <w:spacing w:val="-1"/>
      <w:sz w:val="18"/>
      <w:szCs w:val="18"/>
      <w:lang w:eastAsia="zh-CN"/>
    </w:rPr>
  </w:style>
  <w:style w:type="paragraph" w:styleId="ac">
    <w:name w:val="header"/>
    <w:basedOn w:val="a"/>
    <w:link w:val="ad"/>
    <w:uiPriority w:val="99"/>
    <w:unhideWhenUsed/>
    <w:qFormat/>
    <w:pPr>
      <w:pBdr>
        <w:bottom w:val="single" w:sz="6" w:space="1" w:color="00000A"/>
      </w:pBdr>
      <w:tabs>
        <w:tab w:val="center" w:pos="4153"/>
        <w:tab w:val="right" w:pos="8306"/>
      </w:tabs>
      <w:snapToGrid w:val="0"/>
      <w:spacing w:after="120" w:line="228" w:lineRule="auto"/>
      <w:ind w:firstLine="289"/>
      <w:jc w:val="center"/>
    </w:pPr>
    <w:rPr>
      <w:rFonts w:eastAsia="宋体"/>
      <w:spacing w:val="-1"/>
      <w:sz w:val="18"/>
      <w:szCs w:val="18"/>
      <w:lang w:eastAsia="zh-CN"/>
    </w:rPr>
  </w:style>
  <w:style w:type="paragraph" w:styleId="ae">
    <w:name w:val="List"/>
    <w:basedOn w:val="a0"/>
    <w:qFormat/>
    <w:rPr>
      <w:rFonts w:cs="Lucida Sans"/>
    </w:rPr>
  </w:style>
  <w:style w:type="paragraph" w:styleId="af">
    <w:name w:val="annotation subject"/>
    <w:basedOn w:val="a6"/>
    <w:next w:val="a6"/>
    <w:link w:val="af0"/>
    <w:uiPriority w:val="99"/>
    <w:semiHidden/>
    <w:unhideWhenUsed/>
    <w:qFormat/>
    <w:rPr>
      <w:b/>
      <w:bCs/>
    </w:rPr>
  </w:style>
  <w:style w:type="table" w:styleId="af1">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List Accent 1"/>
    <w:basedOn w:val="a2"/>
    <w:uiPriority w:val="61"/>
    <w:qFormat/>
    <w:rPr>
      <w:rFonts w:eastAsia="Calibri"/>
      <w:sz w:val="22"/>
      <w:szCs w:val="22"/>
      <w:lang w:val="en-IN"/>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styleId="af2">
    <w:name w:val="Hyperlink"/>
    <w:uiPriority w:val="99"/>
    <w:unhideWhenUsed/>
    <w:qFormat/>
    <w:rPr>
      <w:color w:val="0563C1"/>
      <w:u w:val="single"/>
    </w:rPr>
  </w:style>
  <w:style w:type="paragraph" w:customStyle="1" w:styleId="Head1">
    <w:name w:val="Head 1"/>
    <w:basedOn w:val="a"/>
    <w:next w:val="a"/>
    <w:link w:val="Head1Char"/>
    <w:qFormat/>
    <w:pPr>
      <w:spacing w:before="240" w:after="180" w:line="241" w:lineRule="atLeast"/>
    </w:pPr>
    <w:rPr>
      <w:rFonts w:cs="Helvetica Neue LT Std"/>
      <w:b/>
      <w:bCs/>
      <w:caps/>
      <w:color w:val="000000"/>
      <w:sz w:val="23"/>
      <w:szCs w:val="23"/>
      <w:lang w:val="en-IN" w:eastAsia="en-IN"/>
    </w:rPr>
  </w:style>
  <w:style w:type="paragraph" w:customStyle="1" w:styleId="Head2">
    <w:name w:val="Head 2"/>
    <w:basedOn w:val="a"/>
    <w:next w:val="a"/>
    <w:link w:val="Head2Char"/>
    <w:qFormat/>
    <w:pPr>
      <w:spacing w:before="240" w:after="180" w:line="241" w:lineRule="atLeast"/>
      <w:outlineLvl w:val="0"/>
    </w:pPr>
    <w:rPr>
      <w:rFonts w:cs="Helvetica Neue LT Std"/>
      <w:b/>
      <w:bCs/>
      <w:i/>
      <w:color w:val="000000"/>
      <w:sz w:val="23"/>
      <w:szCs w:val="23"/>
      <w:lang w:val="en-IN" w:eastAsia="en-IN"/>
    </w:rPr>
  </w:style>
  <w:style w:type="paragraph" w:customStyle="1" w:styleId="Head3">
    <w:name w:val="Head 3"/>
    <w:basedOn w:val="Head2"/>
    <w:next w:val="a"/>
    <w:link w:val="Head3Char"/>
    <w:qFormat/>
    <w:pPr>
      <w:spacing w:line="240" w:lineRule="auto"/>
    </w:pPr>
    <w:rPr>
      <w:b w:val="0"/>
    </w:rPr>
  </w:style>
  <w:style w:type="paragraph" w:customStyle="1" w:styleId="Head4">
    <w:name w:val="Head 4"/>
    <w:basedOn w:val="Head3"/>
    <w:next w:val="a"/>
    <w:link w:val="Head4Char"/>
    <w:qFormat/>
    <w:rPr>
      <w:sz w:val="21"/>
      <w:u w:val="single"/>
    </w:rPr>
  </w:style>
  <w:style w:type="paragraph" w:customStyle="1" w:styleId="Heading51">
    <w:name w:val="Heading 51"/>
    <w:basedOn w:val="Head4"/>
    <w:qFormat/>
    <w:rPr>
      <w:i w:val="0"/>
    </w:rPr>
  </w:style>
  <w:style w:type="character" w:customStyle="1" w:styleId="Head1Char">
    <w:name w:val="Head 1 Char"/>
    <w:link w:val="Head1"/>
    <w:qFormat/>
    <w:rPr>
      <w:rFonts w:ascii="Times New Roman" w:hAnsi="Times New Roman" w:cs="Helvetica Neue LT Std"/>
      <w:b/>
      <w:bCs/>
      <w:caps/>
      <w:color w:val="000000"/>
      <w:sz w:val="23"/>
      <w:szCs w:val="23"/>
      <w:lang w:val="en-IN" w:eastAsia="en-IN"/>
    </w:rPr>
  </w:style>
  <w:style w:type="character" w:customStyle="1" w:styleId="Head2Char">
    <w:name w:val="Head 2 Char"/>
    <w:link w:val="Head2"/>
    <w:qFormat/>
    <w:rPr>
      <w:rFonts w:ascii="Times New Roman" w:hAnsi="Times New Roman" w:cs="Helvetica Neue LT Std"/>
      <w:b/>
      <w:bCs/>
      <w:i/>
      <w:color w:val="000000"/>
      <w:sz w:val="23"/>
      <w:szCs w:val="23"/>
      <w:lang w:val="en-IN" w:eastAsia="en-IN"/>
    </w:rPr>
  </w:style>
  <w:style w:type="character" w:customStyle="1" w:styleId="Head3Char">
    <w:name w:val="Head 3 Char"/>
    <w:link w:val="Head3"/>
    <w:qFormat/>
    <w:rPr>
      <w:rFonts w:ascii="Times New Roman" w:hAnsi="Times New Roman" w:cs="Helvetica Neue LT Std"/>
      <w:bCs/>
      <w:i/>
      <w:color w:val="000000"/>
      <w:sz w:val="23"/>
      <w:szCs w:val="23"/>
    </w:rPr>
  </w:style>
  <w:style w:type="character" w:customStyle="1" w:styleId="Head4Char">
    <w:name w:val="Head 4 Char"/>
    <w:link w:val="Head4"/>
    <w:uiPriority w:val="9"/>
    <w:semiHidden/>
    <w:qFormat/>
    <w:rPr>
      <w:rFonts w:ascii="Cambria" w:eastAsia="宋体" w:hAnsi="Cambria"/>
      <w:b/>
      <w:bCs/>
      <w:spacing w:val="-1"/>
      <w:sz w:val="28"/>
      <w:szCs w:val="28"/>
      <w:lang w:val="en-US" w:eastAsia="zh-CN"/>
    </w:rPr>
  </w:style>
  <w:style w:type="character" w:customStyle="1" w:styleId="ad">
    <w:name w:val="页眉 字符"/>
    <w:link w:val="ac"/>
    <w:uiPriority w:val="99"/>
    <w:qFormat/>
    <w:rPr>
      <w:rFonts w:ascii="Times New Roman" w:eastAsia="宋体" w:hAnsi="Times New Roman"/>
      <w:spacing w:val="-1"/>
      <w:sz w:val="18"/>
      <w:szCs w:val="18"/>
      <w:lang w:val="en-US" w:eastAsia="zh-CN"/>
    </w:rPr>
  </w:style>
  <w:style w:type="character" w:customStyle="1" w:styleId="ab">
    <w:name w:val="页脚 字符"/>
    <w:link w:val="aa"/>
    <w:uiPriority w:val="99"/>
    <w:qFormat/>
    <w:rPr>
      <w:rFonts w:ascii="Times New Roman" w:eastAsia="宋体" w:hAnsi="Times New Roman"/>
      <w:spacing w:val="-1"/>
      <w:sz w:val="18"/>
      <w:szCs w:val="18"/>
      <w:lang w:val="en-US" w:eastAsia="zh-CN"/>
    </w:rPr>
  </w:style>
  <w:style w:type="character" w:customStyle="1" w:styleId="a9">
    <w:name w:val="批注框文本 字符"/>
    <w:link w:val="a8"/>
    <w:uiPriority w:val="99"/>
    <w:semiHidden/>
    <w:qFormat/>
    <w:rPr>
      <w:rFonts w:ascii="Times New Roman" w:eastAsia="宋体" w:hAnsi="Times New Roman"/>
      <w:spacing w:val="-1"/>
      <w:sz w:val="18"/>
      <w:szCs w:val="18"/>
      <w:lang w:val="en-US" w:eastAsia="zh-CN"/>
    </w:rPr>
  </w:style>
  <w:style w:type="character" w:customStyle="1" w:styleId="InternetLink">
    <w:name w:val="Internet Link"/>
    <w:uiPriority w:val="99"/>
    <w:unhideWhenUsed/>
    <w:qFormat/>
    <w:rPr>
      <w:color w:val="0000FF"/>
      <w:u w:val="single"/>
    </w:rPr>
  </w:style>
  <w:style w:type="character" w:customStyle="1" w:styleId="a7">
    <w:name w:val="批注文字 字符"/>
    <w:link w:val="a6"/>
    <w:uiPriority w:val="99"/>
    <w:semiHidden/>
    <w:qFormat/>
    <w:rPr>
      <w:rFonts w:ascii="Times New Roman" w:eastAsia="宋体" w:hAnsi="Times New Roman"/>
      <w:spacing w:val="-1"/>
      <w:szCs w:val="24"/>
      <w:lang w:val="en-US" w:eastAsia="zh-CN"/>
    </w:rPr>
  </w:style>
  <w:style w:type="character" w:customStyle="1" w:styleId="af0">
    <w:name w:val="批注主题 字符"/>
    <w:link w:val="af"/>
    <w:uiPriority w:val="99"/>
    <w:semiHidden/>
    <w:qFormat/>
    <w:rPr>
      <w:rFonts w:ascii="Times New Roman" w:eastAsia="宋体" w:hAnsi="Times New Roman"/>
      <w:b/>
      <w:bCs/>
      <w:spacing w:val="-1"/>
      <w:szCs w:val="24"/>
      <w:lang w:val="en-US" w:eastAsia="zh-CN"/>
    </w:rPr>
  </w:style>
  <w:style w:type="character" w:customStyle="1" w:styleId="fontstyle01">
    <w:name w:val="fontstyle01"/>
    <w:qFormat/>
    <w:rPr>
      <w:rFonts w:ascii="NimbusRomNo9L-Regu" w:hAnsi="NimbusRomNo9L-Regu"/>
      <w:color w:val="000000"/>
      <w:sz w:val="20"/>
      <w:szCs w:val="20"/>
    </w:rPr>
  </w:style>
  <w:style w:type="character" w:customStyle="1" w:styleId="ReferencesChar">
    <w:name w:val="References Char"/>
    <w:link w:val="References"/>
    <w:qFormat/>
    <w:rPr>
      <w:rFonts w:ascii="Times New Roman" w:eastAsia="宋体" w:hAnsi="Times New Roman"/>
      <w:color w:val="993366"/>
      <w:sz w:val="24"/>
      <w:szCs w:val="18"/>
      <w:lang w:val="en-US" w:eastAsia="zh-CN"/>
    </w:rPr>
  </w:style>
  <w:style w:type="paragraph" w:customStyle="1" w:styleId="References">
    <w:name w:val="References"/>
    <w:basedOn w:val="a"/>
    <w:link w:val="ReferencesChar"/>
    <w:qFormat/>
    <w:pPr>
      <w:spacing w:after="0" w:line="240" w:lineRule="auto"/>
    </w:pPr>
    <w:rPr>
      <w:rFonts w:eastAsia="宋体"/>
      <w:color w:val="993366"/>
      <w:sz w:val="24"/>
      <w:szCs w:val="18"/>
      <w:lang w:eastAsia="zh-CN"/>
    </w:rPr>
  </w:style>
  <w:style w:type="character" w:customStyle="1" w:styleId="MTConvertedEquation">
    <w:name w:val="MTConvertedEquation"/>
    <w:qFormat/>
    <w:rPr>
      <w:sz w:val="24"/>
    </w:rPr>
  </w:style>
  <w:style w:type="character" w:customStyle="1" w:styleId="MTDisplayEquationChar">
    <w:name w:val="MTDisplayEquation Char"/>
    <w:link w:val="MTDisplayEquation"/>
    <w:qFormat/>
    <w:rPr>
      <w:rFonts w:ascii="Times New Roman" w:eastAsia="宋体" w:hAnsi="Times New Roman"/>
      <w:spacing w:val="-1"/>
      <w:szCs w:val="24"/>
      <w:lang w:val="en-US" w:eastAsia="zh-CN"/>
    </w:rPr>
  </w:style>
  <w:style w:type="paragraph" w:customStyle="1" w:styleId="MTDisplayEquation">
    <w:name w:val="MTDisplayEquation"/>
    <w:basedOn w:val="a"/>
    <w:next w:val="a"/>
    <w:link w:val="MTDisplayEquationChar"/>
    <w:qFormat/>
    <w:pPr>
      <w:tabs>
        <w:tab w:val="right" w:pos="0"/>
      </w:tabs>
      <w:spacing w:after="120" w:line="228" w:lineRule="auto"/>
      <w:ind w:firstLine="289"/>
      <w:jc w:val="both"/>
    </w:pPr>
    <w:rPr>
      <w:rFonts w:eastAsia="宋体"/>
      <w:spacing w:val="-1"/>
      <w:sz w:val="20"/>
      <w:szCs w:val="24"/>
      <w:lang w:eastAsia="zh-CN"/>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sz w:val="16"/>
      <w:szCs w:val="16"/>
    </w:rPr>
  </w:style>
  <w:style w:type="character" w:customStyle="1" w:styleId="ListLabel5">
    <w:name w:val="ListLabel 5"/>
    <w:qFormat/>
  </w:style>
  <w:style w:type="character" w:customStyle="1" w:styleId="ListLabel6">
    <w:name w:val="ListLabel 6"/>
    <w:qFormat/>
    <w:rPr>
      <w:rFonts w:eastAsia="宋体" w:cs="Times New Roman"/>
      <w:b/>
    </w:rPr>
  </w:style>
  <w:style w:type="character" w:customStyle="1" w:styleId="ListLabel7">
    <w:name w:val="ListLabel 7"/>
    <w:qFormat/>
    <w:rPr>
      <w:rFonts w:eastAsia="Times New Roman" w:cs="Times New Roman"/>
    </w:rPr>
  </w:style>
  <w:style w:type="character" w:customStyle="1" w:styleId="ListLabel8">
    <w:name w:val="ListLabel 8"/>
    <w:qFormat/>
    <w:rPr>
      <w:rFonts w:cs="Symbol"/>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paragraph" w:customStyle="1" w:styleId="Heading">
    <w:name w:val="Heading"/>
    <w:basedOn w:val="a"/>
    <w:next w:val="a0"/>
    <w:qFormat/>
    <w:pPr>
      <w:keepNext/>
      <w:spacing w:before="240" w:after="120"/>
    </w:pPr>
    <w:rPr>
      <w:rFonts w:ascii="Liberation Sans" w:eastAsia="微软雅黑" w:hAnsi="Liberation Sans" w:cs="Lucida Sans"/>
      <w:sz w:val="28"/>
      <w:szCs w:val="28"/>
    </w:rPr>
  </w:style>
  <w:style w:type="paragraph" w:customStyle="1" w:styleId="Index">
    <w:name w:val="Index"/>
    <w:basedOn w:val="a"/>
    <w:qFormat/>
    <w:pPr>
      <w:suppressLineNumbers/>
    </w:pPr>
    <w:rPr>
      <w:rFonts w:cs="Lucida Sans"/>
    </w:rPr>
  </w:style>
  <w:style w:type="paragraph" w:customStyle="1" w:styleId="Default">
    <w:name w:val="Default"/>
    <w:qFormat/>
    <w:rPr>
      <w:rFonts w:ascii="Arial" w:hAnsi="Arial" w:cs="Arial"/>
      <w:color w:val="000000"/>
      <w:sz w:val="24"/>
      <w:szCs w:val="24"/>
      <w:lang w:val="en-IN" w:eastAsia="en-US"/>
    </w:rPr>
  </w:style>
  <w:style w:type="paragraph" w:customStyle="1" w:styleId="Article-Title">
    <w:name w:val="Article-Title"/>
    <w:basedOn w:val="Default"/>
    <w:qFormat/>
    <w:pPr>
      <w:spacing w:before="720"/>
      <w:jc w:val="center"/>
    </w:pPr>
    <w:rPr>
      <w:rFonts w:ascii="Times New Roman" w:hAnsi="Times New Roman"/>
      <w:b/>
      <w:bCs/>
      <w:sz w:val="40"/>
      <w:szCs w:val="28"/>
    </w:rPr>
  </w:style>
  <w:style w:type="paragraph" w:customStyle="1" w:styleId="Author-Name">
    <w:name w:val="Author-Name"/>
    <w:basedOn w:val="Default"/>
    <w:qFormat/>
    <w:pPr>
      <w:spacing w:before="120" w:after="120" w:line="360" w:lineRule="auto"/>
      <w:jc w:val="center"/>
    </w:pPr>
    <w:rPr>
      <w:rFonts w:ascii="Times New Roman" w:hAnsi="Times New Roman"/>
      <w:sz w:val="28"/>
    </w:rPr>
  </w:style>
  <w:style w:type="paragraph" w:customStyle="1" w:styleId="Affiliation">
    <w:name w:val="Affiliation"/>
    <w:basedOn w:val="Default"/>
    <w:qFormat/>
    <w:rPr>
      <w:rFonts w:ascii="Times New Roman" w:hAnsi="Times New Roman"/>
      <w:i/>
      <w:sz w:val="20"/>
      <w:szCs w:val="20"/>
    </w:rPr>
  </w:style>
  <w:style w:type="paragraph" w:customStyle="1" w:styleId="Corresponding">
    <w:name w:val="Corresponding"/>
    <w:basedOn w:val="Default"/>
    <w:qFormat/>
    <w:pPr>
      <w:spacing w:after="120" w:line="360" w:lineRule="auto"/>
    </w:pPr>
    <w:rPr>
      <w:rFonts w:ascii="Times New Roman" w:hAnsi="Times New Roman"/>
      <w:i/>
      <w:sz w:val="20"/>
      <w:szCs w:val="20"/>
    </w:rPr>
  </w:style>
  <w:style w:type="paragraph" w:customStyle="1" w:styleId="FootnoteText1">
    <w:name w:val="Footnote Text1"/>
    <w:basedOn w:val="Default"/>
    <w:qFormat/>
    <w:pPr>
      <w:spacing w:before="120" w:after="120"/>
    </w:pPr>
    <w:rPr>
      <w:rFonts w:ascii="Times New Roman" w:hAnsi="Times New Roman" w:cs="Times New Roman"/>
      <w:sz w:val="18"/>
      <w:szCs w:val="23"/>
    </w:rPr>
  </w:style>
  <w:style w:type="paragraph" w:customStyle="1" w:styleId="Abstract">
    <w:name w:val="Abstract"/>
    <w:basedOn w:val="Default"/>
    <w:qFormat/>
    <w:pPr>
      <w:spacing w:line="260" w:lineRule="atLeast"/>
      <w:jc w:val="both"/>
    </w:pPr>
    <w:rPr>
      <w:rFonts w:ascii="Times New Roman" w:hAnsi="Times New Roman" w:cs="Times New Roman"/>
      <w:bCs/>
      <w:sz w:val="20"/>
      <w:szCs w:val="23"/>
    </w:rPr>
  </w:style>
  <w:style w:type="paragraph" w:customStyle="1" w:styleId="Keywords">
    <w:name w:val="Keywords"/>
    <w:basedOn w:val="Default"/>
    <w:qFormat/>
    <w:pPr>
      <w:spacing w:before="240" w:after="440" w:line="260" w:lineRule="atLeast"/>
    </w:pPr>
    <w:rPr>
      <w:rFonts w:ascii="Times New Roman" w:hAnsi="Times New Roman"/>
      <w:i/>
      <w:sz w:val="22"/>
      <w:szCs w:val="22"/>
    </w:rPr>
  </w:style>
  <w:style w:type="paragraph" w:customStyle="1" w:styleId="Para">
    <w:name w:val="Para"/>
    <w:basedOn w:val="a"/>
    <w:qFormat/>
    <w:pPr>
      <w:spacing w:after="120" w:line="240" w:lineRule="atLeast"/>
      <w:ind w:firstLine="288"/>
      <w:jc w:val="both"/>
    </w:pPr>
    <w:rPr>
      <w:rFonts w:cs="Minion Pro"/>
      <w:color w:val="000000"/>
      <w:sz w:val="20"/>
      <w:szCs w:val="19"/>
      <w:lang w:val="en-IN" w:eastAsia="en-IN"/>
    </w:rPr>
  </w:style>
  <w:style w:type="paragraph" w:customStyle="1" w:styleId="ListBullet">
    <w:name w:val="ListBullet"/>
    <w:basedOn w:val="a"/>
    <w:qFormat/>
    <w:rPr>
      <w:rFonts w:cs="Minion Pro"/>
      <w:color w:val="000000"/>
      <w:sz w:val="19"/>
      <w:szCs w:val="19"/>
      <w:lang w:val="en-IN" w:eastAsia="en-IN"/>
    </w:rPr>
  </w:style>
  <w:style w:type="paragraph" w:customStyle="1" w:styleId="ListNumbered">
    <w:name w:val="ListNumbered"/>
    <w:basedOn w:val="ListBullet"/>
    <w:qFormat/>
  </w:style>
  <w:style w:type="paragraph" w:customStyle="1" w:styleId="Tabletitle">
    <w:name w:val="Table title"/>
    <w:basedOn w:val="ListNumbered"/>
    <w:qFormat/>
    <w:rPr>
      <w:sz w:val="20"/>
    </w:rPr>
  </w:style>
  <w:style w:type="paragraph" w:customStyle="1" w:styleId="Tablefoot">
    <w:name w:val="Table foot"/>
    <w:basedOn w:val="Tabletitle"/>
    <w:qFormat/>
    <w:rPr>
      <w:sz w:val="16"/>
    </w:rPr>
  </w:style>
  <w:style w:type="paragraph" w:customStyle="1" w:styleId="Figcaption">
    <w:name w:val="Fig caption"/>
    <w:basedOn w:val="Tabletitle"/>
    <w:qFormat/>
  </w:style>
  <w:style w:type="paragraph" w:customStyle="1" w:styleId="Acknowledgment">
    <w:name w:val="Acknowledgment"/>
    <w:basedOn w:val="Figcaption"/>
    <w:qFormat/>
    <w:pPr>
      <w:spacing w:before="240" w:line="240" w:lineRule="auto"/>
    </w:pPr>
    <w:rPr>
      <w:sz w:val="23"/>
    </w:rPr>
  </w:style>
  <w:style w:type="paragraph" w:customStyle="1" w:styleId="Referencetitle">
    <w:name w:val="Reference title"/>
    <w:basedOn w:val="ListNumbered"/>
    <w:qFormat/>
    <w:pPr>
      <w:spacing w:before="240"/>
    </w:pPr>
    <w:rPr>
      <w:b/>
      <w:sz w:val="23"/>
    </w:rPr>
  </w:style>
  <w:style w:type="paragraph" w:customStyle="1" w:styleId="Referenceitem">
    <w:name w:val="Reference item"/>
    <w:basedOn w:val="Referencetitle"/>
    <w:qFormat/>
    <w:pPr>
      <w:spacing w:before="120" w:after="0"/>
      <w:ind w:left="397" w:hanging="397"/>
      <w:jc w:val="both"/>
    </w:pPr>
    <w:rPr>
      <w:b w:val="0"/>
      <w:sz w:val="20"/>
    </w:rPr>
  </w:style>
  <w:style w:type="paragraph" w:styleId="af3">
    <w:name w:val="List Paragraph"/>
    <w:basedOn w:val="a"/>
    <w:uiPriority w:val="34"/>
    <w:qFormat/>
    <w:pPr>
      <w:spacing w:after="120" w:line="228" w:lineRule="auto"/>
      <w:ind w:firstLine="420"/>
      <w:jc w:val="both"/>
    </w:pPr>
    <w:rPr>
      <w:rFonts w:eastAsia="宋体"/>
      <w:spacing w:val="-1"/>
      <w:sz w:val="20"/>
      <w:szCs w:val="24"/>
      <w:lang w:eastAsia="zh-CN"/>
    </w:rPr>
  </w:style>
  <w:style w:type="paragraph" w:styleId="af4">
    <w:name w:val="No Spacing"/>
    <w:next w:val="a"/>
    <w:uiPriority w:val="1"/>
    <w:qFormat/>
    <w:pPr>
      <w:spacing w:after="120"/>
      <w:ind w:firstLine="272"/>
      <w:jc w:val="both"/>
    </w:pPr>
    <w:rPr>
      <w:rFonts w:ascii="Times New Roman" w:eastAsia="宋体" w:hAnsi="Times New Roman"/>
      <w:b/>
      <w:i/>
      <w:sz w:val="18"/>
      <w:szCs w:val="24"/>
    </w:rPr>
  </w:style>
  <w:style w:type="paragraph" w:customStyle="1" w:styleId="MDPIheaderjournallogo">
    <w:name w:val="MDPI_header_journal_logo"/>
    <w:qFormat/>
    <w:pPr>
      <w:snapToGrid w:val="0"/>
    </w:pPr>
    <w:rPr>
      <w:rFonts w:ascii="Palatino Linotype" w:eastAsia="Times New Roman" w:hAnsi="Palatino Linotype"/>
      <w:i/>
      <w:color w:val="000000"/>
      <w:sz w:val="24"/>
      <w:szCs w:val="22"/>
      <w:lang w:eastAsia="de-CH"/>
    </w:rPr>
  </w:style>
  <w:style w:type="paragraph" w:customStyle="1" w:styleId="MDPI11articletype">
    <w:name w:val="MDPI_1.1_article_type"/>
    <w:basedOn w:val="a"/>
    <w:next w:val="a"/>
    <w:qFormat/>
    <w:pPr>
      <w:snapToGrid w:val="0"/>
      <w:spacing w:before="240" w:after="0" w:line="240" w:lineRule="auto"/>
    </w:pPr>
    <w:rPr>
      <w:rFonts w:ascii="Palatino Linotype" w:eastAsia="Times New Roman" w:hAnsi="Palatino Linotype"/>
      <w:i/>
      <w:color w:val="000000"/>
      <w:sz w:val="20"/>
      <w:lang w:eastAsia="de-DE" w:bidi="en-US"/>
    </w:rPr>
  </w:style>
  <w:style w:type="paragraph" w:customStyle="1" w:styleId="Equation">
    <w:name w:val="Equation"/>
    <w:basedOn w:val="af3"/>
    <w:qFormat/>
    <w:pPr>
      <w:tabs>
        <w:tab w:val="right" w:pos="4536"/>
      </w:tabs>
      <w:spacing w:after="0" w:line="240" w:lineRule="auto"/>
      <w:ind w:firstLine="0"/>
      <w:jc w:val="left"/>
    </w:pPr>
  </w:style>
  <w:style w:type="paragraph" w:customStyle="1" w:styleId="Sub-Title">
    <w:name w:val="Sub-Title"/>
    <w:basedOn w:val="a"/>
    <w:qFormat/>
    <w:pPr>
      <w:jc w:val="center"/>
    </w:pPr>
    <w:rPr>
      <w:b/>
      <w:sz w:val="32"/>
      <w:szCs w:val="32"/>
    </w:rPr>
  </w:style>
  <w:style w:type="paragraph" w:customStyle="1" w:styleId="Figure">
    <w:name w:val="Figure"/>
    <w:basedOn w:val="Para"/>
    <w:qFormat/>
    <w:pPr>
      <w:spacing w:before="240" w:after="240"/>
      <w:jc w:val="center"/>
    </w:pPr>
    <w:rPr>
      <w:lang w:val="en-US" w:eastAsia="en-US"/>
    </w:rPr>
  </w:style>
  <w:style w:type="paragraph" w:customStyle="1" w:styleId="Contribution">
    <w:name w:val="Contribution"/>
    <w:basedOn w:val="Acknowledgment"/>
    <w:qFormat/>
    <w:rPr>
      <w:b/>
    </w:rPr>
  </w:style>
  <w:style w:type="paragraph" w:customStyle="1" w:styleId="BodyText2">
    <w:name w:val="Body Text2"/>
    <w:basedOn w:val="a0"/>
    <w:link w:val="BodyText2Char"/>
    <w:qFormat/>
    <w:pPr>
      <w:widowControl w:val="0"/>
      <w:spacing w:after="120" w:line="240" w:lineRule="auto"/>
      <w:ind w:firstLine="180"/>
    </w:pPr>
    <w:rPr>
      <w:rFonts w:eastAsia="Times New Roman"/>
      <w:sz w:val="20"/>
      <w:szCs w:val="18"/>
    </w:rPr>
  </w:style>
  <w:style w:type="character" w:customStyle="1" w:styleId="BodyText2Char">
    <w:name w:val="Body Text2 Char"/>
    <w:link w:val="BodyText2"/>
    <w:qFormat/>
    <w:rPr>
      <w:rFonts w:ascii="Times New Roman" w:eastAsia="Times New Roman" w:hAnsi="Times New Roman"/>
      <w:szCs w:val="18"/>
    </w:rPr>
  </w:style>
  <w:style w:type="character" w:customStyle="1" w:styleId="10">
    <w:name w:val="标题 1 字符"/>
    <w:link w:val="1"/>
    <w:qFormat/>
    <w:rPr>
      <w:rFonts w:ascii="Times New Roman" w:eastAsia="Times New Roman" w:hAnsi="Times New Roman"/>
      <w:b/>
      <w:bCs/>
      <w:iCs/>
      <w:sz w:val="24"/>
      <w:szCs w:val="18"/>
    </w:rPr>
  </w:style>
  <w:style w:type="character" w:customStyle="1" w:styleId="20">
    <w:name w:val="标题 2 字符"/>
    <w:link w:val="2"/>
    <w:uiPriority w:val="9"/>
    <w:semiHidden/>
    <w:qFormat/>
    <w:rPr>
      <w:rFonts w:ascii="Calibri Light" w:eastAsia="Times New Roman" w:hAnsi="Calibri Light" w:cs="Times New Roman"/>
      <w:b/>
      <w:bCs/>
      <w:i/>
      <w:iCs/>
      <w:sz w:val="28"/>
      <w:szCs w:val="28"/>
    </w:rPr>
  </w:style>
  <w:style w:type="character" w:customStyle="1" w:styleId="a4">
    <w:name w:val="正文文本 字符"/>
    <w:link w:val="a0"/>
    <w:qFormat/>
    <w:rPr>
      <w:rFonts w:ascii="Times New Roman" w:hAnsi="Times New Roman"/>
      <w:sz w:val="22"/>
      <w:szCs w:val="22"/>
    </w:rPr>
  </w:style>
  <w:style w:type="character" w:customStyle="1" w:styleId="11">
    <w:name w:val="未处理的提及1"/>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author@example.com" TargetMode="External"/><Relationship Id="rId13" Type="http://schemas.openxmlformats.org/officeDocument/2006/relationships/image" Target="media/image1.png"/><Relationship Id="rId18" Type="http://schemas.openxmlformats.org/officeDocument/2006/relationships/oleObject" Target="embeddings/oleObject2.bin"/><Relationship Id="rId3" Type="http://schemas.openxmlformats.org/officeDocument/2006/relationships/styles" Target="styles.xml"/><Relationship Id="rId21" Type="http://schemas.openxmlformats.org/officeDocument/2006/relationships/hyperlink" Target="https://doi.org/10.1007/978-3-642-82453-1_5"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w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hyperlink" Target="https://doi.org/10.1145/800057.80866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hyperlink" Target="https://doi.org/10.1007/978-3-540-70545-1_14" TargetMode="External"/><Relationship Id="rId10" Type="http://schemas.openxmlformats.org/officeDocument/2006/relationships/footer" Target="footer1.xm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eg"/><Relationship Id="rId22" Type="http://schemas.openxmlformats.org/officeDocument/2006/relationships/hyperlink" Target="https://doi.org/10.1109/2.161279" TargetMode="External"/><Relationship Id="rId26"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D:\&#36164;&#26009;\&#25991;&#31185;&#26032;&#27169;&#26495;\&#33521;&#25991;-&#26368;&#32456;&#26368;&#26032;AP_proceedings_Word_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0E8EAA-7060-4661-A64A-5F3384F71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英文-最终最新AP_proceedings_Word_template</Template>
  <TotalTime>36</TotalTime>
  <Pages>6</Pages>
  <Words>2629</Words>
  <Characters>14990</Characters>
  <Application>Microsoft Office Word</Application>
  <DocSecurity>0</DocSecurity>
  <Lines>124</Lines>
  <Paragraphs>35</Paragraphs>
  <ScaleCrop>false</ScaleCrop>
  <Company/>
  <LinksUpToDate>false</LinksUpToDate>
  <CharactersWithSpaces>17584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KEO</dc:creator>
  <cp:lastModifiedBy>ka bing</cp:lastModifiedBy>
  <cp:revision>4</cp:revision>
  <cp:lastPrinted>2020-09-29T05:18:00Z</cp:lastPrinted>
  <dcterms:created xsi:type="dcterms:W3CDTF">2026-07-31T08:14:00Z</dcterms:created>
  <dcterms:modified xsi:type="dcterms:W3CDTF">2026-07-31T08:49:00Z</dcterms:modified>
  <dc:title>Integrated manuscript sections: Introduction, Related Work and Detailed Network</dc:title>
  <dc:subject>Working SCI-format manuscript draft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MTWinEqns">
    <vt:bool>true</vt:bool>
  </property>
  <property fmtid="{D5CDD505-2E9C-101B-9397-08002B2CF9AE}" pid="9" name="KSOProductBuildVer">
    <vt:lpwstr>2052-11.1.0.12980</vt:lpwstr>
  </property>
  <property fmtid="{D5CDD505-2E9C-101B-9397-08002B2CF9AE}" pid="10" name="ICV">
    <vt:lpwstr>8463A02BC753474DA438B644AEFB2F35</vt:lpwstr>
  </property>
</Properties>
</file>