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180" w:after="440" w:line="240" w:lineRule="auto"/>
        <w:pBdr>
          <w:bottom w:val="single" w:sz="10" w:space="5" w:color="2A7F8E"/>
        </w:pBdr>
      </w:pPr>
      <w:r>
        <w:rPr>
          <w:rFonts w:ascii="Noto Sans CJK SC" w:hAnsi="Noto Sans CJK SC" w:eastAsia="Noto Sans CJK SC"/>
          <w:b/>
          <w:color w:val="2A7F8E"/>
          <w:sz w:val="19"/>
        </w:rPr>
        <w:t>PROJECT PROPOSAL  ·  FREE EDITION</w:t>
      </w:r>
    </w:p>
    <w:p>
      <w:pPr>
        <w:pStyle w:val="Title"/>
        <w:keepNext w:val="0"/>
        <w:widowControl/>
        <w:spacing w:before="480" w:after="160" w:line="245" w:lineRule="auto"/>
        <w:jc w:val="left"/>
      </w:pPr>
      <w:r>
        <w:rPr>
          <w:rFonts w:ascii="Noto Sans CJK SC" w:hAnsi="Noto Sans CJK SC" w:eastAsia="Noto Sans CJK SC"/>
          <w:b/>
          <w:color w:val="183B56"/>
          <w:sz w:val="60"/>
        </w:rPr>
        <w:t>财经事件雷达 Agent</w:t>
      </w:r>
    </w:p>
    <w:p>
      <w:pPr>
        <w:keepNext w:val="0"/>
        <w:widowControl/>
        <w:spacing w:before="0" w:after="380" w:line="300" w:lineRule="auto"/>
      </w:pPr>
      <w:r>
        <w:rPr>
          <w:rFonts w:ascii="Noto Sans CJK SC" w:hAnsi="Noto Sans CJK SC" w:eastAsia="Noto Sans CJK SC"/>
          <w:b/>
          <w:color w:val="1F6672"/>
          <w:sz w:val="28"/>
        </w:rPr>
        <w:t>基于免费数据源的跨资产新闻聚合、事件分级与市场反应分析系统</w:t>
      </w:r>
    </w:p>
    <w:p>
      <w:pPr>
        <w:keepNext w:val="0"/>
        <w:widowControl/>
        <w:spacing w:before="0" w:after="500" w:line="341" w:lineRule="auto"/>
      </w:pPr>
      <w:r>
        <w:rPr>
          <w:rFonts w:ascii="Noto Sans CJK SC" w:hAnsi="Noto Sans CJK SC" w:eastAsia="Noto Sans CJK SC"/>
          <w:color w:val="40515D"/>
          <w:sz w:val="22"/>
        </w:rPr>
        <w:t>把分散的监管原文、宏观发布、公司公告、全球新闻与行情数据，转换为可核验、可追踪、可复盘的事件卡片；先做人机协同的研究雷达，不直接驱动交易。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97"/>
        <w:gridCol w:w="7313"/>
      </w:tblGrid>
      <w:tr>
        <w:tc>
          <w:tcPr>
            <w:tcW w:type="dxa" w:w="2097"/>
            <w:shd w:fill="183B56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keepNext w:val="0"/>
              <w:widowControl/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文档版本</w:t>
            </w:r>
          </w:p>
        </w:tc>
        <w:tc>
          <w:tcPr>
            <w:tcW w:type="dxa" w:w="7313"/>
            <w:shd w:fill="F7F9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keepNext w:val="0"/>
              <w:widowControl/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V1.0</w:t>
            </w:r>
          </w:p>
        </w:tc>
      </w:tr>
      <w:tr>
        <w:tc>
          <w:tcPr>
            <w:tcW w:type="dxa" w:w="2097"/>
            <w:shd w:fill="254F6D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keepNext w:val="0"/>
              <w:widowControl/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编制日期</w:t>
            </w:r>
          </w:p>
        </w:tc>
        <w:tc>
          <w:tcPr>
            <w:tcW w:type="dxa" w:w="731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keepNext w:val="0"/>
              <w:widowControl/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2026 年 7 月 14 日</w:t>
            </w:r>
          </w:p>
        </w:tc>
      </w:tr>
      <w:tr>
        <w:tc>
          <w:tcPr>
            <w:tcW w:type="dxa" w:w="2097"/>
            <w:shd w:fill="183B56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keepNext w:val="0"/>
              <w:widowControl/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项目阶段</w:t>
            </w:r>
          </w:p>
        </w:tc>
        <w:tc>
          <w:tcPr>
            <w:tcW w:type="dxa" w:w="7313"/>
            <w:shd w:fill="F7F9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keepNext w:val="0"/>
              <w:widowControl/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立项 / MVP 设计</w:t>
            </w:r>
          </w:p>
        </w:tc>
      </w:tr>
      <w:tr>
        <w:tc>
          <w:tcPr>
            <w:tcW w:type="dxa" w:w="2097"/>
            <w:shd w:fill="254F6D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keepNext w:val="0"/>
              <w:widowControl/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成本约束</w:t>
            </w:r>
          </w:p>
        </w:tc>
        <w:tc>
          <w:tcPr>
            <w:tcW w:type="dxa" w:w="731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keepNext w:val="0"/>
              <w:widowControl/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B5483A"/>
                <w:sz w:val="18"/>
              </w:rPr>
              <w:t>新增 API 与云服务订阅支出：0 元/月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12"/>
      </w:tblGrid>
      <w:tr>
        <w:tc>
          <w:tcPr>
            <w:tcW w:type="dxa" w:w="198"/>
            <w:shd w:fill="26734D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9212"/>
            <w:shd w:fill="EAF6EE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40" w:line="283" w:lineRule="auto"/>
            </w:pPr>
            <w:r/>
            <w:r>
              <w:rPr>
                <w:rFonts w:ascii="Noto Sans CJK SC" w:hAnsi="Noto Sans CJK SC" w:eastAsia="Noto Sans CJK SC"/>
                <w:b/>
                <w:color w:val="26734D"/>
                <w:sz w:val="20"/>
              </w:rPr>
              <w:t>立项原则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40515D"/>
                <w:sz w:val="19"/>
              </w:rPr>
              <w:t>核心运行不得依赖免费试用、隐藏付费墙或强制购买行情权限；所有告警必须保留原始链接、来源等级、时间戳和计算口径。</w:t>
            </w:r>
          </w:p>
        </w:tc>
      </w:tr>
    </w:tbl>
    <w:p>
      <w:pPr>
        <w:spacing w:after="0"/>
      </w:pPr>
    </w:p>
    <w:p>
      <w:pPr>
        <w:keepNext w:val="0"/>
        <w:widowControl/>
        <w:spacing w:before="360" w:after="0" w:line="288" w:lineRule="auto"/>
      </w:pPr>
      <w:r>
        <w:rPr>
          <w:rFonts w:ascii="Noto Sans CJK SC" w:hAnsi="Noto Sans CJK SC" w:eastAsia="Noto Sans CJK SC"/>
          <w:b/>
          <w:color w:val="71808C"/>
          <w:sz w:val="17"/>
        </w:rPr>
        <w:t>内部研究与技术验证文档  ·  不构成投资建议</w:t>
      </w:r>
    </w:p>
    <w:p>
      <w:r>
        <w:br w:type="page"/>
      </w:r>
    </w:p>
    <w:p>
      <w:pPr>
        <w:pStyle w:val="Heading1"/>
        <w:pageBreakBefore w:val="0"/>
        <w:pBdr>
          <w:bottom w:val="single" w:sz="7" w:space="5" w:color="2A7F8E"/>
        </w:pBdr>
      </w:pPr>
      <w:r>
        <w:t>项目摘要</w:t>
      </w:r>
    </w:p>
    <w:p>
      <w:pPr>
        <w:keepNext w:val="0"/>
        <w:widowControl/>
        <w:spacing w:before="0" w:after="100" w:line="300" w:lineRule="auto"/>
      </w:pPr>
      <w:r>
        <w:rPr>
          <w:rFonts w:ascii="Noto Sans CJK SC" w:hAnsi="Noto Sans CJK SC" w:eastAsia="Noto Sans CJK SC"/>
          <w:color w:val="40515D"/>
        </w:rPr>
        <w:t>本项目拟建设一个面向美股、宏观、商品与加密资产的财经事件雷达。系统持续采集公开信息，将同一事件的多条报道合并，判断事件类型、严重度、可信度和新颖度，映射可能受影响的资产，再计算价格、波动率与成交量等市场反应，最终通过 Telegram 推送结构化事件卡片。</w:t>
      </w:r>
    </w:p>
    <w:p>
      <w:pPr>
        <w:keepNext w:val="0"/>
        <w:widowControl/>
        <w:spacing w:before="0" w:after="100" w:line="300" w:lineRule="auto"/>
      </w:pPr>
      <w:r>
        <w:rPr>
          <w:rFonts w:ascii="Noto Sans CJK SC" w:hAnsi="Noto Sans CJK SC" w:eastAsia="Noto Sans CJK SC"/>
          <w:color w:val="40515D"/>
        </w:rPr>
        <w:t>V1.0 的产品定位不是“自动选股”或“新闻情绪交易器”，而是“可核验的硬事件监控台”。系统优先处理监管执法、财报异常、资本结构变化、重大经营事故、宏观数据、央行政策、地缘冲突、交易所或协议风险等可能引发重新定价的事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</w:tblGrid>
      <w:tr>
        <w:tc>
          <w:tcPr>
            <w:tcW w:type="dxa" w:w="2352"/>
            <w:shd w:fill="E8F4F3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6672"/>
                <w:sz w:val="34"/>
              </w:rPr>
              <w:t>0 元/月</w:t>
            </w:r>
          </w:p>
          <w:p>
            <w:pPr>
              <w:keepNext w:val="0"/>
              <w:widowControl/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新增订阅支出</w:t>
            </w:r>
          </w:p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71808C"/>
                <w:sz w:val="15"/>
              </w:rPr>
              <w:t>API / 云服务</w:t>
            </w:r>
          </w:p>
        </w:tc>
        <w:tc>
          <w:tcPr>
            <w:tcW w:type="dxa" w:w="2352"/>
            <w:shd w:fill="EAF3F7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6672"/>
                <w:sz w:val="34"/>
              </w:rPr>
              <w:t>3–4 周</w:t>
            </w:r>
          </w:p>
          <w:p>
            <w:pPr>
              <w:keepNext w:val="0"/>
              <w:widowControl/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MVP 周期</w:t>
            </w:r>
          </w:p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71808C"/>
                <w:sz w:val="15"/>
              </w:rPr>
              <w:t>个人兼职开发</w:t>
            </w:r>
          </w:p>
        </w:tc>
        <w:tc>
          <w:tcPr>
            <w:tcW w:type="dxa" w:w="2352"/>
            <w:shd w:fill="E8F4F3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6672"/>
                <w:sz w:val="34"/>
              </w:rPr>
              <w:t>100%</w:t>
            </w:r>
          </w:p>
          <w:p>
            <w:pPr>
              <w:keepNext w:val="0"/>
              <w:widowControl/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告警可追溯</w:t>
            </w:r>
          </w:p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71808C"/>
                <w:sz w:val="15"/>
              </w:rPr>
              <w:t>链接 / 时间 / 口径</w:t>
            </w:r>
          </w:p>
        </w:tc>
        <w:tc>
          <w:tcPr>
            <w:tcW w:type="dxa" w:w="2352"/>
            <w:shd w:fill="EAF3F7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6672"/>
                <w:sz w:val="34"/>
              </w:rPr>
              <w:t>2 周</w:t>
            </w:r>
          </w:p>
          <w:p>
            <w:pPr>
              <w:keepNext w:val="0"/>
              <w:widowControl/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影子运行</w:t>
            </w:r>
          </w:p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71808C"/>
                <w:sz w:val="15"/>
              </w:rPr>
              <w:t>上线前不交易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12"/>
      </w:tblGrid>
      <w:tr>
        <w:tc>
          <w:tcPr>
            <w:tcW w:type="dxa" w:w="198"/>
            <w:shd w:fill="A87313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9212"/>
            <w:shd w:fill="FFF7DD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40" w:line="283" w:lineRule="auto"/>
            </w:pPr>
            <w:r/>
            <w:r>
              <w:rPr>
                <w:rFonts w:ascii="Noto Sans CJK SC" w:hAnsi="Noto Sans CJK SC" w:eastAsia="Noto Sans CJK SC"/>
                <w:b/>
                <w:color w:val="A87313"/>
                <w:sz w:val="20"/>
              </w:rPr>
              <w:t>“全免费”的准确含义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40515D"/>
                <w:sz w:val="19"/>
              </w:rPr>
              <w:t>不新增付费 API、新闻终端、市场数据订阅或必需云服务器。默认使用本机或已有设备、现有网络及开源软件；电费、网络费、既有硬件和个人开发时间不计入新增现金成本。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891"/>
        <w:gridCol w:w="5499"/>
      </w:tblGrid>
      <w:tr>
        <w:trPr>
          <w:tblHeader w:val="true"/>
          <w:cantSplit/>
        </w:trPr>
        <w:tc>
          <w:tcPr>
            <w:tcW w:type="dxa" w:w="1020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2891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5499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0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01</w:t>
            </w:r>
          </w:p>
        </w:tc>
        <w:tc>
          <w:tcPr>
            <w:tcW w:type="dxa" w:w="28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项目背景与目标</w:t>
            </w:r>
          </w:p>
        </w:tc>
        <w:tc>
          <w:tcPr>
            <w:tcW w:type="dxa" w:w="549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为什么做、解决什么问题</w:t>
            </w:r>
          </w:p>
        </w:tc>
      </w:tr>
      <w:tr>
        <w:trPr>
          <w:cantSplit/>
        </w:trPr>
        <w:tc>
          <w:tcPr>
            <w:tcW w:type="dxa" w:w="102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02</w:t>
            </w:r>
          </w:p>
        </w:tc>
        <w:tc>
          <w:tcPr>
            <w:tcW w:type="dxa" w:w="2891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范围与产品原则</w:t>
            </w:r>
          </w:p>
        </w:tc>
        <w:tc>
          <w:tcPr>
            <w:tcW w:type="dxa" w:w="5499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包含项、排除项、关键边界</w:t>
            </w:r>
          </w:p>
        </w:tc>
      </w:tr>
      <w:tr>
        <w:trPr>
          <w:cantSplit/>
        </w:trPr>
        <w:tc>
          <w:tcPr>
            <w:tcW w:type="dxa" w:w="10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03</w:t>
            </w:r>
          </w:p>
        </w:tc>
        <w:tc>
          <w:tcPr>
            <w:tcW w:type="dxa" w:w="28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产品工作流</w:t>
            </w:r>
          </w:p>
        </w:tc>
        <w:tc>
          <w:tcPr>
            <w:tcW w:type="dxa" w:w="549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事件生命周期与通知节奏</w:t>
            </w:r>
          </w:p>
        </w:tc>
      </w:tr>
      <w:tr>
        <w:trPr>
          <w:cantSplit/>
        </w:trPr>
        <w:tc>
          <w:tcPr>
            <w:tcW w:type="dxa" w:w="102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04</w:t>
            </w:r>
          </w:p>
        </w:tc>
        <w:tc>
          <w:tcPr>
            <w:tcW w:type="dxa" w:w="2891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免费数据源方案</w:t>
            </w:r>
          </w:p>
        </w:tc>
        <w:tc>
          <w:tcPr>
            <w:tcW w:type="dxa" w:w="5499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官方原文、发现层、行情层</w:t>
            </w:r>
          </w:p>
        </w:tc>
      </w:tr>
      <w:tr>
        <w:trPr>
          <w:cantSplit/>
        </w:trPr>
        <w:tc>
          <w:tcPr>
            <w:tcW w:type="dxa" w:w="10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05</w:t>
            </w:r>
          </w:p>
        </w:tc>
        <w:tc>
          <w:tcPr>
            <w:tcW w:type="dxa" w:w="28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事件分级与资产映射</w:t>
            </w:r>
          </w:p>
        </w:tc>
        <w:tc>
          <w:tcPr>
            <w:tcW w:type="dxa" w:w="549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S/A/B/C、P0–P3、多维判定</w:t>
            </w:r>
          </w:p>
        </w:tc>
      </w:tr>
      <w:tr>
        <w:trPr>
          <w:cantSplit/>
        </w:trPr>
        <w:tc>
          <w:tcPr>
            <w:tcW w:type="dxa" w:w="102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06</w:t>
            </w:r>
          </w:p>
        </w:tc>
        <w:tc>
          <w:tcPr>
            <w:tcW w:type="dxa" w:w="2891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市场指标与计算口径</w:t>
            </w:r>
          </w:p>
        </w:tc>
        <w:tc>
          <w:tcPr>
            <w:tcW w:type="dxa" w:w="5499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价格、波动率、RVOL、基准</w:t>
            </w:r>
          </w:p>
        </w:tc>
      </w:tr>
      <w:tr>
        <w:trPr>
          <w:cantSplit/>
        </w:trPr>
        <w:tc>
          <w:tcPr>
            <w:tcW w:type="dxa" w:w="10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07</w:t>
            </w:r>
          </w:p>
        </w:tc>
        <w:tc>
          <w:tcPr>
            <w:tcW w:type="dxa" w:w="28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系统与数据设计</w:t>
            </w:r>
          </w:p>
        </w:tc>
        <w:tc>
          <w:tcPr>
            <w:tcW w:type="dxa" w:w="549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架构、数据模型、技术栈</w:t>
            </w:r>
          </w:p>
        </w:tc>
      </w:tr>
      <w:tr>
        <w:trPr>
          <w:cantSplit/>
        </w:trPr>
        <w:tc>
          <w:tcPr>
            <w:tcW w:type="dxa" w:w="102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08</w:t>
            </w:r>
          </w:p>
        </w:tc>
        <w:tc>
          <w:tcPr>
            <w:tcW w:type="dxa" w:w="2891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需求、计划与验收</w:t>
            </w:r>
          </w:p>
        </w:tc>
        <w:tc>
          <w:tcPr>
            <w:tcW w:type="dxa" w:w="5499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功能、里程碑、量化指标</w:t>
            </w:r>
          </w:p>
        </w:tc>
      </w:tr>
      <w:tr>
        <w:trPr>
          <w:cantSplit/>
        </w:trPr>
        <w:tc>
          <w:tcPr>
            <w:tcW w:type="dxa" w:w="10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09</w:t>
            </w:r>
          </w:p>
        </w:tc>
        <w:tc>
          <w:tcPr>
            <w:tcW w:type="dxa" w:w="28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风险、合规与运营</w:t>
            </w:r>
          </w:p>
        </w:tc>
        <w:tc>
          <w:tcPr>
            <w:tcW w:type="dxa" w:w="549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免费源失效、版权、错误控制</w:t>
            </w:r>
          </w:p>
        </w:tc>
      </w:tr>
      <w:tr>
        <w:trPr>
          <w:cantSplit/>
        </w:trPr>
        <w:tc>
          <w:tcPr>
            <w:tcW w:type="dxa" w:w="102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10</w:t>
            </w:r>
          </w:p>
        </w:tc>
        <w:tc>
          <w:tcPr>
            <w:tcW w:type="dxa" w:w="2891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交付物与附录</w:t>
            </w:r>
          </w:p>
        </w:tc>
        <w:tc>
          <w:tcPr>
            <w:tcW w:type="dxa" w:w="5499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事件字典、样例通知、参考链接</w:t>
            </w:r>
          </w:p>
        </w:tc>
      </w:tr>
    </w:tbl>
    <w:p>
      <w:pPr>
        <w:pStyle w:val="Heading1"/>
        <w:pageBreakBefore/>
        <w:pBdr>
          <w:bottom w:val="single" w:sz="7" w:space="5" w:color="2A7F8E"/>
        </w:pBdr>
      </w:pPr>
      <w:r>
        <w:t>1. 项目背景与目标</w:t>
      </w:r>
    </w:p>
    <w:p>
      <w:pPr>
        <w:pStyle w:val="Heading2"/>
        <w:pageBreakBefore w:val="0"/>
      </w:pPr>
      <w:r>
        <w:t>1.1 背景与问题</w:t>
      </w:r>
    </w:p>
    <w:p>
      <w:pPr>
        <w:keepNext w:val="0"/>
        <w:widowControl/>
        <w:spacing w:before="0" w:after="100" w:line="300" w:lineRule="auto"/>
      </w:pPr>
      <w:r>
        <w:rPr>
          <w:rFonts w:ascii="Noto Sans CJK SC" w:hAnsi="Noto Sans CJK SC" w:eastAsia="Noto Sans CJK SC"/>
          <w:color w:val="40515D"/>
        </w:rPr>
        <w:t>财经信息并不稀缺，稀缺的是“第一时间知道什么值得看、为什么值得看，以及市场是否已经开始确认”。单纯把新闻标题汇总到一个频道，只会把信息过载从浏览器搬到聊天软件。</w:t>
      </w:r>
    </w:p>
    <w:p>
      <w:pPr>
        <w:pStyle w:val="ListBullet"/>
        <w:keepNext w:val="0"/>
        <w:widowControl/>
        <w:spacing w:before="0" w:after="40" w:line="288" w:lineRule="auto"/>
      </w:pPr>
      <w:r>
        <w:rPr>
          <w:rFonts w:ascii="Noto Sans CJK SC" w:hAnsi="Noto Sans CJK SC" w:eastAsia="Noto Sans CJK SC"/>
          <w:color w:val="40515D"/>
          <w:sz w:val="19"/>
        </w:rPr>
        <w:t>来源碎片化：监管机构、统计部门、公司 IR、交易所、全球新闻和社交媒体各自独立。</w:t>
      </w:r>
    </w:p>
    <w:p>
      <w:pPr>
        <w:pStyle w:val="ListBullet"/>
        <w:keepNext w:val="0"/>
        <w:widowControl/>
        <w:spacing w:before="0" w:after="40" w:line="288" w:lineRule="auto"/>
      </w:pPr>
      <w:r>
        <w:rPr>
          <w:rFonts w:ascii="Noto Sans CJK SC" w:hAnsi="Noto Sans CJK SC" w:eastAsia="Noto Sans CJK SC"/>
          <w:color w:val="40515D"/>
          <w:sz w:val="19"/>
        </w:rPr>
        <w:t>重复与改写严重：一份原始公告可被数十家媒体重复发布，首次出现时间容易被掩盖。</w:t>
      </w:r>
    </w:p>
    <w:p>
      <w:pPr>
        <w:pStyle w:val="ListBullet"/>
        <w:keepNext w:val="0"/>
        <w:widowControl/>
        <w:spacing w:before="0" w:after="40" w:line="288" w:lineRule="auto"/>
      </w:pPr>
      <w:r>
        <w:rPr>
          <w:rFonts w:ascii="Noto Sans CJK SC" w:hAnsi="Noto Sans CJK SC" w:eastAsia="Noto Sans CJK SC"/>
          <w:color w:val="40515D"/>
          <w:sz w:val="19"/>
        </w:rPr>
        <w:t>严重度不稳定：模型容易把措辞激烈但影响有限的内容判为重大事件，也可能漏掉短标题下的硬信息。</w:t>
      </w:r>
    </w:p>
    <w:p>
      <w:pPr>
        <w:pStyle w:val="ListBullet"/>
        <w:keepNext w:val="0"/>
        <w:widowControl/>
        <w:spacing w:before="0" w:after="40" w:line="288" w:lineRule="auto"/>
      </w:pPr>
      <w:r>
        <w:rPr>
          <w:rFonts w:ascii="Noto Sans CJK SC" w:hAnsi="Noto Sans CJK SC" w:eastAsia="Noto Sans CJK SC"/>
          <w:color w:val="40515D"/>
          <w:sz w:val="19"/>
        </w:rPr>
        <w:t>资产关联不透明：主体股票、供应链、行业 ETF、宏观代理资产的关系需要证据和置信度。</w:t>
      </w:r>
    </w:p>
    <w:p>
      <w:pPr>
        <w:pStyle w:val="ListBullet"/>
        <w:keepNext w:val="0"/>
        <w:widowControl/>
        <w:spacing w:before="0" w:after="40" w:line="288" w:lineRule="auto"/>
      </w:pPr>
      <w:r>
        <w:rPr>
          <w:rFonts w:ascii="Noto Sans CJK SC" w:hAnsi="Noto Sans CJK SC" w:eastAsia="Noto Sans CJK SC"/>
          <w:color w:val="40515D"/>
          <w:sz w:val="19"/>
        </w:rPr>
        <w:t>行情口径容易误导：免费行情可能只覆盖单一交易所或部分成交量，却被错误表述为“全市场”。</w:t>
      </w:r>
    </w:p>
    <w:p>
      <w:pPr>
        <w:pStyle w:val="ListBullet"/>
        <w:keepNext w:val="0"/>
        <w:widowControl/>
        <w:spacing w:before="0" w:after="40" w:line="288" w:lineRule="auto"/>
      </w:pPr>
      <w:r>
        <w:rPr>
          <w:rFonts w:ascii="Noto Sans CJK SC" w:hAnsi="Noto Sans CJK SC" w:eastAsia="Noto Sans CJK SC"/>
          <w:color w:val="40515D"/>
          <w:sz w:val="19"/>
        </w:rPr>
        <w:t>不可复盘：没有原文、版本链和计算快照，事后无法区分数据错误、模型错误与市场噪声。</w:t>
      </w:r>
    </w:p>
    <w:p>
      <w:pPr>
        <w:pStyle w:val="Heading2"/>
        <w:pageBreakBefore w:val="0"/>
      </w:pPr>
      <w:r>
        <w:t>1.2 项目目标</w:t>
      </w:r>
    </w:p>
    <w:p>
      <w:pPr>
        <w:pStyle w:val="ListNumber"/>
        <w:keepNext w:val="0"/>
        <w:widowControl/>
        <w:spacing w:before="0" w:after="60" w:line="288" w:lineRule="auto"/>
      </w:pPr>
      <w:r>
        <w:rPr>
          <w:rFonts w:ascii="Noto Sans CJK SC" w:hAnsi="Noto Sans CJK SC" w:eastAsia="Noto Sans CJK SC"/>
          <w:color w:val="40515D"/>
          <w:sz w:val="19"/>
        </w:rPr>
        <w:t>建立可替换的数据源适配层，优先接入监管原文与官方发布，并以免费发现源补充覆盖。</w:t>
      </w:r>
    </w:p>
    <w:p>
      <w:pPr>
        <w:pStyle w:val="ListNumber"/>
        <w:keepNext w:val="0"/>
        <w:widowControl/>
        <w:spacing w:before="0" w:after="60" w:line="288" w:lineRule="auto"/>
      </w:pPr>
      <w:r>
        <w:rPr>
          <w:rFonts w:ascii="Noto Sans CJK SC" w:hAnsi="Noto Sans CJK SC" w:eastAsia="Noto Sans CJK SC"/>
          <w:color w:val="40515D"/>
          <w:sz w:val="19"/>
        </w:rPr>
        <w:t>将原始内容转为统一事件对象，完成去重、聚类、实体识别、事件类型与多维分级。</w:t>
      </w:r>
    </w:p>
    <w:p>
      <w:pPr>
        <w:pStyle w:val="ListNumber"/>
        <w:keepNext w:val="0"/>
        <w:widowControl/>
        <w:spacing w:before="0" w:after="60" w:line="288" w:lineRule="auto"/>
      </w:pPr>
      <w:r>
        <w:rPr>
          <w:rFonts w:ascii="Noto Sans CJK SC" w:hAnsi="Noto Sans CJK SC" w:eastAsia="Noto Sans CJK SC"/>
          <w:color w:val="40515D"/>
          <w:sz w:val="19"/>
        </w:rPr>
        <w:t>把事件映射到直接资产、行业代理与可验证的上下游关系，并标注证据与置信度。</w:t>
      </w:r>
    </w:p>
    <w:p>
      <w:pPr>
        <w:pStyle w:val="ListNumber"/>
        <w:keepNext w:val="0"/>
        <w:widowControl/>
        <w:spacing w:before="0" w:after="60" w:line="288" w:lineRule="auto"/>
      </w:pPr>
      <w:r>
        <w:rPr>
          <w:rFonts w:ascii="Noto Sans CJK SC" w:hAnsi="Noto Sans CJK SC" w:eastAsia="Noto Sans CJK SC"/>
          <w:color w:val="40515D"/>
          <w:sz w:val="19"/>
        </w:rPr>
        <w:t>在统一时间基准上计算事件前后的价格、异常收益、波动率和来源限定成交量指标。</w:t>
      </w:r>
    </w:p>
    <w:p>
      <w:pPr>
        <w:pStyle w:val="ListNumber"/>
        <w:keepNext w:val="0"/>
        <w:widowControl/>
        <w:spacing w:before="0" w:after="60" w:line="288" w:lineRule="auto"/>
      </w:pPr>
      <w:r>
        <w:rPr>
          <w:rFonts w:ascii="Noto Sans CJK SC" w:hAnsi="Noto Sans CJK SC" w:eastAsia="Noto Sans CJK SC"/>
          <w:color w:val="40515D"/>
          <w:sz w:val="19"/>
        </w:rPr>
        <w:t>通过分阶段通知呈现“发现—验证—市场确认—跟踪”，避免一次性摘要造成追涨杀跌。</w:t>
      </w:r>
    </w:p>
    <w:p>
      <w:pPr>
        <w:pStyle w:val="ListNumber"/>
        <w:keepNext w:val="0"/>
        <w:widowControl/>
        <w:spacing w:before="0" w:after="60" w:line="288" w:lineRule="auto"/>
      </w:pPr>
      <w:r>
        <w:rPr>
          <w:rFonts w:ascii="Noto Sans CJK SC" w:hAnsi="Noto Sans CJK SC" w:eastAsia="Noto Sans CJK SC"/>
          <w:color w:val="40515D"/>
          <w:sz w:val="19"/>
        </w:rPr>
        <w:t>保留原始输入、模型输出、规则结果和行情快照，支持离线回放、人工标注与迭代评估。</w:t>
      </w:r>
    </w:p>
    <w:p>
      <w:pPr>
        <w:pStyle w:val="Heading2"/>
        <w:pageBreakBefore w:val="0"/>
      </w:pPr>
      <w:r>
        <w:t>1.3 成功定义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12"/>
      </w:tblGrid>
      <w:tr>
        <w:tc>
          <w:tcPr>
            <w:tcW w:type="dxa" w:w="198"/>
            <w:shd w:fill="26734D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9212"/>
            <w:shd w:fill="EAF6EE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40" w:line="283" w:lineRule="auto"/>
            </w:pPr>
            <w:r/>
            <w:r>
              <w:rPr>
                <w:rFonts w:ascii="Noto Sans CJK SC" w:hAnsi="Noto Sans CJK SC" w:eastAsia="Noto Sans CJK SC"/>
                <w:b/>
                <w:color w:val="26734D"/>
                <w:sz w:val="20"/>
              </w:rPr>
              <w:t>一句话成功标准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40515D"/>
                <w:sz w:val="19"/>
              </w:rPr>
              <w:t>在不购买数据订阅的前提下，对预先定义的硬事件形成低噪声、可追溯、口径诚实的结构化提醒，并能用历史回放证明分类和计算基本可靠。</w:t>
            </w:r>
          </w:p>
        </w:tc>
      </w:tr>
    </w:tbl>
    <w:p>
      <w:pPr>
        <w:spacing w:after="0"/>
      </w:pPr>
    </w:p>
    <w:p>
      <w:pPr>
        <w:keepNext w:val="0"/>
        <w:widowControl/>
        <w:spacing w:before="0" w:after="100" w:line="300" w:lineRule="auto"/>
      </w:pPr>
      <w:r>
        <w:rPr>
          <w:rFonts w:ascii="Noto Sans CJK SC" w:hAnsi="Noto Sans CJK SC" w:eastAsia="Noto Sans CJK SC"/>
          <w:color w:val="40515D"/>
        </w:rPr>
        <w:t>系统的价值以“更快发现 + 更少误报 + 可验证”衡量，不以短期盈亏作为 MVP 验收标准。交易收益受策略、执行、仓位和市场环境共同影响，不能归因于新闻 Agent 本身。</w:t>
      </w:r>
    </w:p>
    <w:p>
      <w:pPr>
        <w:pStyle w:val="Heading1"/>
        <w:pageBreakBefore w:val="0"/>
        <w:pBdr>
          <w:bottom w:val="single" w:sz="7" w:space="5" w:color="2A7F8E"/>
        </w:pBdr>
      </w:pPr>
      <w:r>
        <w:t>2. 范围与产品原则</w:t>
      </w:r>
    </w:p>
    <w:p>
      <w:pPr>
        <w:pStyle w:val="Heading2"/>
        <w:pageBreakBefore w:val="0"/>
      </w:pPr>
      <w:r>
        <w:t>2.1 MVP 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596"/>
      </w:tblGrid>
      <w:tr>
        <w:trPr>
          <w:tblHeader w:val="true"/>
          <w:cantSplit/>
        </w:trPr>
        <w:tc>
          <w:tcPr>
            <w:tcW w:type="dxa" w:w="1814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596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MVP 定义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资产</w:t>
            </w:r>
          </w:p>
        </w:tc>
        <w:tc>
          <w:tcPr>
            <w:tcW w:type="dxa" w:w="759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美股与主要行业 ETF；美联储/美国宏观；黄金、原油等宏观代理；Binance 现货与永续合约的主要加密资产</w:t>
            </w:r>
          </w:p>
        </w:tc>
      </w:tr>
      <w:tr>
        <w:trPr>
          <w:cantSplit/>
        </w:trPr>
        <w:tc>
          <w:tcPr>
            <w:tcW w:type="dxa" w:w="181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事件</w:t>
            </w:r>
          </w:p>
        </w:tc>
        <w:tc>
          <w:tcPr>
            <w:tcW w:type="dxa" w:w="7596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监管/诉讼、财务报告、融资与资本结构、并购、经营事故、产品审批、网络安全、央行/宏观、地缘政治、商品供给、交易所/协议风险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输出</w:t>
            </w:r>
          </w:p>
        </w:tc>
        <w:tc>
          <w:tcPr>
            <w:tcW w:type="dxa" w:w="759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结构化事件卡片、更新卡片、事件详情、观察池、每日摘要、数据源健康状态</w:t>
            </w:r>
          </w:p>
        </w:tc>
      </w:tr>
      <w:tr>
        <w:trPr>
          <w:cantSplit/>
        </w:trPr>
        <w:tc>
          <w:tcPr>
            <w:tcW w:type="dxa" w:w="181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交互</w:t>
            </w:r>
          </w:p>
        </w:tc>
        <w:tc>
          <w:tcPr>
            <w:tcW w:type="dxa" w:w="7596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Telegram 推送与命令；本地管理页作为可选项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运行</w:t>
            </w:r>
          </w:p>
        </w:tc>
        <w:tc>
          <w:tcPr>
            <w:tcW w:type="dxa" w:w="759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本机或既有设备常驻；SQLite 单机部署；无需付费云组件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2.2 明确排除</w:t>
      </w:r>
    </w:p>
    <w:p>
      <w:pPr>
        <w:pStyle w:val="ListBullet"/>
        <w:keepNext w:val="0"/>
        <w:widowControl/>
        <w:spacing w:before="0" w:after="40" w:line="288" w:lineRule="auto"/>
      </w:pPr>
      <w:r>
        <w:rPr>
          <w:rFonts w:ascii="Noto Sans CJK SC" w:hAnsi="Noto Sans CJK SC" w:eastAsia="Noto Sans CJK SC"/>
          <w:color w:val="40515D"/>
          <w:sz w:val="19"/>
        </w:rPr>
        <w:t>不做全自动下单、不直接输出仓位或杠杆建议，不把模型摘要当作交易信号。</w:t>
      </w:r>
    </w:p>
    <w:p>
      <w:pPr>
        <w:pStyle w:val="ListBullet"/>
        <w:keepNext w:val="0"/>
        <w:widowControl/>
        <w:spacing w:before="0" w:after="40" w:line="288" w:lineRule="auto"/>
      </w:pPr>
      <w:r>
        <w:rPr>
          <w:rFonts w:ascii="Noto Sans CJK SC" w:hAnsi="Noto Sans CJK SC" w:eastAsia="Noto Sans CJK SC"/>
          <w:color w:val="40515D"/>
          <w:sz w:val="19"/>
        </w:rPr>
        <w:t>不承诺毫秒级或机构级低延迟；RSS 与免费 API 的更新节奏由来源方决定。</w:t>
      </w:r>
    </w:p>
    <w:p>
      <w:pPr>
        <w:pStyle w:val="ListBullet"/>
        <w:keepNext w:val="0"/>
        <w:widowControl/>
        <w:spacing w:before="0" w:after="40" w:line="288" w:lineRule="auto"/>
      </w:pPr>
      <w:r>
        <w:rPr>
          <w:rFonts w:ascii="Noto Sans CJK SC" w:hAnsi="Noto Sans CJK SC" w:eastAsia="Noto Sans CJK SC"/>
          <w:color w:val="40515D"/>
          <w:sz w:val="19"/>
        </w:rPr>
        <w:t>不声称覆盖“全网新闻”；采用可维护的来源白名单与事件字典。</w:t>
      </w:r>
    </w:p>
    <w:p>
      <w:pPr>
        <w:pStyle w:val="ListBullet"/>
        <w:keepNext w:val="0"/>
        <w:widowControl/>
        <w:spacing w:before="0" w:after="40" w:line="288" w:lineRule="auto"/>
      </w:pPr>
      <w:r>
        <w:rPr>
          <w:rFonts w:ascii="Noto Sans CJK SC" w:hAnsi="Noto Sans CJK SC" w:eastAsia="Noto Sans CJK SC"/>
          <w:color w:val="40515D"/>
          <w:sz w:val="19"/>
        </w:rPr>
        <w:t>不绕过付费墙、验证码、robots.txt 或网站技术限制，不批量再分发受版权保护的全文。</w:t>
      </w:r>
    </w:p>
    <w:p>
      <w:pPr>
        <w:pStyle w:val="ListBullet"/>
        <w:keepNext w:val="0"/>
        <w:widowControl/>
        <w:spacing w:before="0" w:after="40" w:line="288" w:lineRule="auto"/>
      </w:pPr>
      <w:r>
        <w:rPr>
          <w:rFonts w:ascii="Noto Sans CJK SC" w:hAnsi="Noto Sans CJK SC" w:eastAsia="Noto Sans CJK SC"/>
          <w:color w:val="40515D"/>
          <w:sz w:val="19"/>
        </w:rPr>
        <w:t>不把单一交易场所的数据冒充全市场数据；缺失数据直接显示“不可用”。</w:t>
      </w:r>
    </w:p>
    <w:p>
      <w:pPr>
        <w:pStyle w:val="ListBullet"/>
        <w:keepNext w:val="0"/>
        <w:widowControl/>
        <w:spacing w:before="0" w:after="40" w:line="288" w:lineRule="auto"/>
      </w:pPr>
      <w:r>
        <w:rPr>
          <w:rFonts w:ascii="Noto Sans CJK SC" w:hAnsi="Noto Sans CJK SC" w:eastAsia="Noto Sans CJK SC"/>
          <w:color w:val="40515D"/>
          <w:sz w:val="19"/>
        </w:rPr>
        <w:t>不在 V1.0 建供应链知识图谱；仅使用有出处、可人工核验的关系。</w:t>
      </w:r>
    </w:p>
    <w:p>
      <w:pPr>
        <w:pStyle w:val="Heading2"/>
        <w:pageBreakBefore w:val="0"/>
      </w:pPr>
      <w:r>
        <w:t>2.3 产品原则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596"/>
      </w:tblGrid>
      <w:tr>
        <w:trPr>
          <w:tblHeader w:val="true"/>
          <w:cantSplit/>
        </w:trPr>
        <w:tc>
          <w:tcPr>
            <w:tcW w:type="dxa" w:w="1814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7596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落实方式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原文优先</w:t>
            </w:r>
          </w:p>
        </w:tc>
        <w:tc>
          <w:tcPr>
            <w:tcW w:type="dxa" w:w="759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同一事件存在监管原文或官方披露时，以其为事实锚点，媒体内容仅用于发现和上下文。</w:t>
            </w:r>
          </w:p>
        </w:tc>
      </w:tr>
      <w:tr>
        <w:trPr>
          <w:cantSplit/>
        </w:trPr>
        <w:tc>
          <w:tcPr>
            <w:tcW w:type="dxa" w:w="181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多维分级</w:t>
            </w:r>
          </w:p>
        </w:tc>
        <w:tc>
          <w:tcPr>
            <w:tcW w:type="dxa" w:w="7596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严重度、可信度、新颖度和市场反应分别表达，不把所有判断压成一个模糊总分。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规则兜底</w:t>
            </w:r>
          </w:p>
        </w:tc>
        <w:tc>
          <w:tcPr>
            <w:tcW w:type="dxa" w:w="759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时间、来源、数值、阈值和状态机由确定性代码处理；模型负责抽取、归类和解释。</w:t>
            </w:r>
          </w:p>
        </w:tc>
      </w:tr>
      <w:tr>
        <w:trPr>
          <w:cantSplit/>
        </w:trPr>
        <w:tc>
          <w:tcPr>
            <w:tcW w:type="dxa" w:w="181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证据绑定</w:t>
            </w:r>
          </w:p>
        </w:tc>
        <w:tc>
          <w:tcPr>
            <w:tcW w:type="dxa" w:w="7596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每个事实、资产关系和市场指标都附来源或计算口径；不确定内容显式标注。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渐进通知</w:t>
            </w:r>
          </w:p>
        </w:tc>
        <w:tc>
          <w:tcPr>
            <w:tcW w:type="dxa" w:w="759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首次发现时允许“待核验”；确认后更新同一事件，不用重复推送制造紧迫感。</w:t>
            </w:r>
          </w:p>
        </w:tc>
      </w:tr>
      <w:tr>
        <w:trPr>
          <w:cantSplit/>
        </w:trPr>
        <w:tc>
          <w:tcPr>
            <w:tcW w:type="dxa" w:w="181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禁止追单</w:t>
            </w:r>
          </w:p>
        </w:tc>
        <w:tc>
          <w:tcPr>
            <w:tcW w:type="dxa" w:w="7596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默认动作是加入观察池、等待趋势/流动性确认；不因摘要本身建议追涨或追空。</w:t>
            </w:r>
          </w:p>
        </w:tc>
      </w:tr>
    </w:tbl>
    <w:p>
      <w:pPr>
        <w:pStyle w:val="Heading1"/>
        <w:pageBreakBefore/>
        <w:pBdr>
          <w:bottom w:val="single" w:sz="7" w:space="5" w:color="2A7F8E"/>
        </w:pBdr>
      </w:pPr>
      <w:r>
        <w:t>3. 产品工作流与事件生命周期</w:t>
      </w:r>
    </w:p>
    <w:p>
      <w:pPr>
        <w:pStyle w:val="Heading2"/>
        <w:pageBreakBefore w:val="0"/>
      </w:pPr>
      <w:r>
        <w:t>3.1 端到端处理链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1700"/>
        <w:gridCol w:w="6973"/>
      </w:tblGrid>
      <w:tr>
        <w:trPr>
          <w:cantSplit/>
        </w:trPr>
        <w:tc>
          <w:tcPr>
            <w:tcW w:type="dxa" w:w="737"/>
            <w:shd w:fill="2A7F8E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01</w:t>
            </w:r>
          </w:p>
        </w:tc>
        <w:tc>
          <w:tcPr>
            <w:tcW w:type="dxa" w:w="1700"/>
            <w:shd w:fill="E8F4F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keepNext w:val="0"/>
              <w:widowControl/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20"/>
              </w:rPr>
              <w:t>采集</w:t>
            </w:r>
          </w:p>
        </w:tc>
        <w:tc>
          <w:tcPr>
            <w:tcW w:type="dxa" w:w="6973"/>
            <w:shd w:fill="F7F9F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keepNext w:val="0"/>
              <w:widowControl/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color w:val="40515D"/>
                <w:sz w:val="18"/>
              </w:rPr>
              <w:t>监管原文 / RSS / API / WebSocket</w:t>
            </w:r>
          </w:p>
        </w:tc>
      </w:tr>
      <w:tr>
        <w:trPr>
          <w:cantSplit/>
        </w:trPr>
        <w:tc>
          <w:tcPr>
            <w:tcW w:type="dxa" w:w="737"/>
            <w:shd w:fill="254F6D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02</w:t>
            </w:r>
          </w:p>
        </w:tc>
        <w:tc>
          <w:tcPr>
            <w:tcW w:type="dxa" w:w="1700"/>
            <w:shd w:fill="EAF3F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keepNext w:val="0"/>
              <w:widowControl/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20"/>
              </w:rPr>
              <w:t>规范化</w:t>
            </w:r>
          </w:p>
        </w:tc>
        <w:tc>
          <w:tcPr>
            <w:tcW w:type="dxa" w:w="697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keepNext w:val="0"/>
              <w:widowControl/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color w:val="40515D"/>
                <w:sz w:val="18"/>
              </w:rPr>
              <w:t>统一字段、时区、语言与来源等级</w:t>
            </w:r>
          </w:p>
        </w:tc>
      </w:tr>
      <w:tr>
        <w:trPr>
          <w:cantSplit/>
        </w:trPr>
        <w:tc>
          <w:tcPr>
            <w:tcW w:type="dxa" w:w="737"/>
            <w:shd w:fill="2A7F8E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03</w:t>
            </w:r>
          </w:p>
        </w:tc>
        <w:tc>
          <w:tcPr>
            <w:tcW w:type="dxa" w:w="1700"/>
            <w:shd w:fill="E8F4F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keepNext w:val="0"/>
              <w:widowControl/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20"/>
              </w:rPr>
              <w:t>去重聚类</w:t>
            </w:r>
          </w:p>
        </w:tc>
        <w:tc>
          <w:tcPr>
            <w:tcW w:type="dxa" w:w="6973"/>
            <w:shd w:fill="F7F9F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keepNext w:val="0"/>
              <w:widowControl/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color w:val="40515D"/>
                <w:sz w:val="18"/>
              </w:rPr>
              <w:t>同一事件合并；保留首次出现与更新链</w:t>
            </w:r>
          </w:p>
        </w:tc>
      </w:tr>
      <w:tr>
        <w:trPr>
          <w:cantSplit/>
        </w:trPr>
        <w:tc>
          <w:tcPr>
            <w:tcW w:type="dxa" w:w="737"/>
            <w:shd w:fill="254F6D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04</w:t>
            </w:r>
          </w:p>
        </w:tc>
        <w:tc>
          <w:tcPr>
            <w:tcW w:type="dxa" w:w="1700"/>
            <w:shd w:fill="EAF3F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keepNext w:val="0"/>
              <w:widowControl/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20"/>
              </w:rPr>
              <w:t>事件判断</w:t>
            </w:r>
          </w:p>
        </w:tc>
        <w:tc>
          <w:tcPr>
            <w:tcW w:type="dxa" w:w="697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keepNext w:val="0"/>
              <w:widowControl/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color w:val="40515D"/>
                <w:sz w:val="18"/>
              </w:rPr>
              <w:t>类型、严重度、可信度、新颖度、方向</w:t>
            </w:r>
          </w:p>
        </w:tc>
      </w:tr>
      <w:tr>
        <w:trPr>
          <w:cantSplit/>
        </w:trPr>
        <w:tc>
          <w:tcPr>
            <w:tcW w:type="dxa" w:w="737"/>
            <w:shd w:fill="2A7F8E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05</w:t>
            </w:r>
          </w:p>
        </w:tc>
        <w:tc>
          <w:tcPr>
            <w:tcW w:type="dxa" w:w="1700"/>
            <w:shd w:fill="E8F4F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keepNext w:val="0"/>
              <w:widowControl/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20"/>
              </w:rPr>
              <w:t>资产映射</w:t>
            </w:r>
          </w:p>
        </w:tc>
        <w:tc>
          <w:tcPr>
            <w:tcW w:type="dxa" w:w="6973"/>
            <w:shd w:fill="F7F9F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keepNext w:val="0"/>
              <w:widowControl/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color w:val="40515D"/>
                <w:sz w:val="18"/>
              </w:rPr>
              <w:t>主体 → 股票 / ETF / 商品 / 加密资产</w:t>
            </w:r>
          </w:p>
        </w:tc>
      </w:tr>
      <w:tr>
        <w:trPr>
          <w:cantSplit/>
        </w:trPr>
        <w:tc>
          <w:tcPr>
            <w:tcW w:type="dxa" w:w="737"/>
            <w:shd w:fill="254F6D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06</w:t>
            </w:r>
          </w:p>
        </w:tc>
        <w:tc>
          <w:tcPr>
            <w:tcW w:type="dxa" w:w="1700"/>
            <w:shd w:fill="EAF3F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keepNext w:val="0"/>
              <w:widowControl/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20"/>
              </w:rPr>
              <w:t>行情增强</w:t>
            </w:r>
          </w:p>
        </w:tc>
        <w:tc>
          <w:tcPr>
            <w:tcW w:type="dxa" w:w="697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keepNext w:val="0"/>
              <w:widowControl/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color w:val="40515D"/>
                <w:sz w:val="18"/>
              </w:rPr>
              <w:t>收益、异常收益、波动率、来源限定 RVOL</w:t>
            </w:r>
          </w:p>
        </w:tc>
      </w:tr>
      <w:tr>
        <w:trPr>
          <w:cantSplit/>
        </w:trPr>
        <w:tc>
          <w:tcPr>
            <w:tcW w:type="dxa" w:w="737"/>
            <w:shd w:fill="2A7F8E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07</w:t>
            </w:r>
          </w:p>
        </w:tc>
        <w:tc>
          <w:tcPr>
            <w:tcW w:type="dxa" w:w="1700"/>
            <w:shd w:fill="E8F4F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keepNext w:val="0"/>
              <w:widowControl/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20"/>
              </w:rPr>
              <w:t>通知与跟踪</w:t>
            </w:r>
          </w:p>
        </w:tc>
        <w:tc>
          <w:tcPr>
            <w:tcW w:type="dxa" w:w="6973"/>
            <w:shd w:fill="F7F9F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keepNext w:val="0"/>
              <w:widowControl/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color w:val="40515D"/>
                <w:sz w:val="18"/>
              </w:rPr>
              <w:t>首次提示 → 确认 → 市场反应 → 关闭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3.2 事件状态机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814"/>
        <w:gridCol w:w="5896"/>
      </w:tblGrid>
      <w:tr>
        <w:trPr>
          <w:tblHeader w:val="true"/>
          <w:cantSplit/>
        </w:trPr>
        <w:tc>
          <w:tcPr>
            <w:tcW w:type="dxa" w:w="1700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1814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5896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进入条件 / 动作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NEW</w:t>
            </w:r>
          </w:p>
        </w:tc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首次捕获</w:t>
            </w:r>
          </w:p>
        </w:tc>
        <w:tc>
          <w:tcPr>
            <w:tcW w:type="dxa" w:w="589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记录原文、source_time、ingest_time；执行快速去重</w:t>
            </w:r>
          </w:p>
        </w:tc>
      </w:tr>
      <w:tr>
        <w:trPr>
          <w:cantSplit/>
        </w:trPr>
        <w:tc>
          <w:tcPr>
            <w:tcW w:type="dxa" w:w="170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VERIFYING</w:t>
            </w:r>
          </w:p>
        </w:tc>
        <w:tc>
          <w:tcPr>
            <w:tcW w:type="dxa" w:w="181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待核验</w:t>
            </w:r>
          </w:p>
        </w:tc>
        <w:tc>
          <w:tcPr>
            <w:tcW w:type="dxa" w:w="5896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来源低于 P1、主体存在歧义或关键数字未确认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CONFIRMED</w:t>
            </w:r>
          </w:p>
        </w:tc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事实确认</w:t>
            </w:r>
          </w:p>
        </w:tc>
        <w:tc>
          <w:tcPr>
            <w:tcW w:type="dxa" w:w="589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官方/公司原文或至少两个独立可靠来源支持</w:t>
            </w:r>
          </w:p>
        </w:tc>
      </w:tr>
      <w:tr>
        <w:trPr>
          <w:cantSplit/>
        </w:trPr>
        <w:tc>
          <w:tcPr>
            <w:tcW w:type="dxa" w:w="170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MARKET_CONFIRMED</w:t>
            </w:r>
          </w:p>
        </w:tc>
        <w:tc>
          <w:tcPr>
            <w:tcW w:type="dxa" w:w="181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市场确认</w:t>
            </w:r>
          </w:p>
        </w:tc>
        <w:tc>
          <w:tcPr>
            <w:tcW w:type="dxa" w:w="5896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价格、成交量或波动率达到预设反应阈值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MONITORING</w:t>
            </w:r>
          </w:p>
        </w:tc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持续跟踪</w:t>
            </w:r>
          </w:p>
        </w:tc>
        <w:tc>
          <w:tcPr>
            <w:tcW w:type="dxa" w:w="589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等待补充文件、管理层回应、停复牌或趋势确认</w:t>
            </w:r>
          </w:p>
        </w:tc>
      </w:tr>
      <w:tr>
        <w:trPr>
          <w:cantSplit/>
        </w:trPr>
        <w:tc>
          <w:tcPr>
            <w:tcW w:type="dxa" w:w="170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CLOSED</w:t>
            </w:r>
          </w:p>
        </w:tc>
        <w:tc>
          <w:tcPr>
            <w:tcW w:type="dxa" w:w="181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事件关闭</w:t>
            </w:r>
          </w:p>
        </w:tc>
        <w:tc>
          <w:tcPr>
            <w:tcW w:type="dxa" w:w="5896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无新增信息、影响消化或被证伪；保留完整审计链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3.3 通知节奏</w:t>
      </w:r>
    </w:p>
    <w:p>
      <w:pPr>
        <w:keepNext w:val="0"/>
        <w:widowControl/>
        <w:spacing w:before="0" w:after="100" w:line="300" w:lineRule="auto"/>
      </w:pPr>
      <w:r>
        <w:rPr>
          <w:rFonts w:ascii="Noto Sans CJK SC" w:hAnsi="Noto Sans CJK SC" w:eastAsia="Noto Sans CJK SC"/>
          <w:color w:val="40515D"/>
        </w:rPr>
        <w:t>同一事件使用稳定 event_id，在一个消息线程中更新，避免“每篇报道一条消息”。推荐最多三类主动推送：</w:t>
      </w:r>
    </w:p>
    <w:p>
      <w:pPr>
        <w:pStyle w:val="ListBullet"/>
        <w:keepNext w:val="0"/>
        <w:widowControl/>
        <w:spacing w:before="0" w:after="40" w:line="288" w:lineRule="auto"/>
      </w:pPr>
      <w:r>
        <w:rPr>
          <w:rFonts w:ascii="Noto Sans CJK SC" w:hAnsi="Noto Sans CJK SC" w:eastAsia="Noto Sans CJK SC"/>
          <w:color w:val="40515D"/>
          <w:sz w:val="19"/>
        </w:rPr>
        <w:t>#1 发现：仅对 S 候选或高相关 A 事件发送，明确标注“待核验”和当前证据。</w:t>
      </w:r>
    </w:p>
    <w:p>
      <w:pPr>
        <w:pStyle w:val="ListBullet"/>
        <w:keepNext w:val="0"/>
        <w:widowControl/>
        <w:spacing w:before="0" w:after="40" w:line="288" w:lineRule="auto"/>
      </w:pPr>
      <w:r>
        <w:rPr>
          <w:rFonts w:ascii="Noto Sans CJK SC" w:hAnsi="Noto Sans CJK SC" w:eastAsia="Noto Sans CJK SC"/>
          <w:color w:val="40515D"/>
          <w:sz w:val="19"/>
        </w:rPr>
        <w:t>#2 确认：原始文件/官方来源出现，更新状态、严重度和资产映射。</w:t>
      </w:r>
    </w:p>
    <w:p>
      <w:pPr>
        <w:pStyle w:val="ListBullet"/>
        <w:keepNext w:val="0"/>
        <w:widowControl/>
        <w:spacing w:before="0" w:after="40" w:line="288" w:lineRule="auto"/>
      </w:pPr>
      <w:r>
        <w:rPr>
          <w:rFonts w:ascii="Noto Sans CJK SC" w:hAnsi="Noto Sans CJK SC" w:eastAsia="Noto Sans CJK SC"/>
          <w:color w:val="40515D"/>
          <w:sz w:val="19"/>
        </w:rPr>
        <w:t>#3 市场反应：达到预设阈值或 15/60 分钟观察窗结束，补充价格与波动指标。</w:t>
      </w:r>
    </w:p>
    <w:p>
      <w:pPr>
        <w:pStyle w:val="ListBullet"/>
        <w:keepNext w:val="0"/>
        <w:widowControl/>
        <w:spacing w:before="0" w:after="40" w:line="288" w:lineRule="auto"/>
      </w:pPr>
      <w:r>
        <w:rPr>
          <w:rFonts w:ascii="Noto Sans CJK SC" w:hAnsi="Noto Sans CJK SC" w:eastAsia="Noto Sans CJK SC"/>
          <w:color w:val="40515D"/>
          <w:sz w:val="19"/>
        </w:rPr>
        <w:t>其余更新进入事件详情或每日摘要；被证伪时必须主动发出撤销/更正。</w:t>
      </w:r>
    </w:p>
    <w:p>
      <w:pPr>
        <w:pStyle w:val="Heading2"/>
        <w:pageBreakBefore w:val="0"/>
      </w:pPr>
      <w:r>
        <w:t>3.4 人机协同边界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596"/>
      </w:tblGrid>
      <w:tr>
        <w:trPr>
          <w:tblHeader w:val="true"/>
          <w:cantSplit/>
        </w:trPr>
        <w:tc>
          <w:tcPr>
            <w:tcW w:type="dxa" w:w="1814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处理层</w:t>
            </w:r>
          </w:p>
        </w:tc>
        <w:tc>
          <w:tcPr>
            <w:tcW w:type="dxa" w:w="7596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可自动完成</w:t>
            </w:r>
          </w:p>
        </w:tc>
        <w:tc>
          <w:tcPr>
            <w:tcW w:type="dxa" w:w="759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抓取、时间标准化、去重、数值计算、初步分类、来源等级、候选资产匹配、消息排版</w:t>
            </w:r>
          </w:p>
        </w:tc>
      </w:tr>
      <w:tr>
        <w:trPr>
          <w:cantSplit/>
        </w:trPr>
        <w:tc>
          <w:tcPr>
            <w:tcW w:type="dxa" w:w="181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需要规则复核</w:t>
            </w:r>
          </w:p>
        </w:tc>
        <w:tc>
          <w:tcPr>
            <w:tcW w:type="dxa" w:w="7596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S 级触发、主体同名歧义、金额/比例冲突、停牌/破产/执法等高风险关键词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建议人工确认</w:t>
            </w:r>
          </w:p>
        </w:tc>
        <w:tc>
          <w:tcPr>
            <w:tcW w:type="dxa" w:w="759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供应链扩散、复杂法律结论、传闻、跨语言歧义、可能引发交易行为的最终判断</w:t>
            </w:r>
          </w:p>
        </w:tc>
      </w:tr>
    </w:tbl>
    <w:p>
      <w:pPr>
        <w:spacing w:after="0"/>
      </w:pPr>
    </w:p>
    <w:p>
      <w:pPr>
        <w:pStyle w:val="Heading1"/>
        <w:pageBreakBefore w:val="0"/>
        <w:pBdr>
          <w:bottom w:val="single" w:sz="7" w:space="5" w:color="2A7F8E"/>
        </w:pBdr>
      </w:pPr>
      <w:r>
        <w:t>4. 免费数据源方案</w:t>
      </w:r>
    </w:p>
    <w:p>
      <w:pPr>
        <w:pStyle w:val="Heading2"/>
        <w:pageBreakBefore w:val="0"/>
      </w:pPr>
      <w:r>
        <w:t>4.1 三层来源结构</w:t>
      </w:r>
    </w:p>
    <w:p>
      <w:pPr>
        <w:keepNext w:val="0"/>
        <w:widowControl/>
        <w:spacing w:before="0" w:after="100" w:line="300" w:lineRule="auto"/>
      </w:pPr>
      <w:r>
        <w:rPr>
          <w:rFonts w:ascii="Noto Sans CJK SC" w:hAnsi="Noto Sans CJK SC" w:eastAsia="Noto Sans CJK SC"/>
          <w:color w:val="40515D"/>
        </w:rPr>
        <w:t>零成本方案不能靠一个“万能新闻 API”。核心设计是：官方原文负责确认，免费聚合源负责发现，公开行情负责观察反应。任何单一来源失效都不应让系统整体停摆。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2"/>
        <w:gridCol w:w="2381"/>
        <w:gridCol w:w="2267"/>
        <w:gridCol w:w="3429"/>
      </w:tblGrid>
      <w:tr>
        <w:trPr>
          <w:tblHeader w:val="true"/>
          <w:cantSplit/>
        </w:trPr>
        <w:tc>
          <w:tcPr>
            <w:tcW w:type="dxa" w:w="1332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2381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候选来源</w:t>
            </w:r>
          </w:p>
        </w:tc>
        <w:tc>
          <w:tcPr>
            <w:tcW w:type="dxa" w:w="2267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主要用途</w:t>
            </w:r>
          </w:p>
        </w:tc>
        <w:tc>
          <w:tcPr>
            <w:tcW w:type="dxa" w:w="3429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免费边界 / 风险</w:t>
            </w:r>
          </w:p>
        </w:tc>
      </w:tr>
      <w:tr>
        <w:trPr>
          <w:cantSplit/>
        </w:trPr>
        <w:tc>
          <w:tcPr>
            <w:tcW w:type="dxa" w:w="13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P0 事实锚点</w:t>
            </w:r>
          </w:p>
        </w:tc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SEC EDGAR / RSS；Federal Reserve RSS；BLS、BEA；监管、法院、交易所、公司 IR 公告</w:t>
            </w:r>
          </w:p>
        </w:tc>
        <w:tc>
          <w:tcPr>
            <w:tcW w:type="dxa" w:w="226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确认监管、财报、宏观与公司硬事件</w:t>
            </w:r>
          </w:p>
        </w:tc>
        <w:tc>
          <w:tcPr>
            <w:tcW w:type="dxa" w:w="342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权威但分散；需维护来源注册表与解析器</w:t>
            </w:r>
          </w:p>
        </w:tc>
      </w:tr>
      <w:tr>
        <w:trPr>
          <w:cantSplit/>
        </w:trPr>
        <w:tc>
          <w:tcPr>
            <w:tcW w:type="dxa" w:w="1332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全球发现</w:t>
            </w:r>
          </w:p>
        </w:tc>
        <w:tc>
          <w:tcPr>
            <w:tcW w:type="dxa" w:w="2381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GDELT 2.0</w:t>
            </w:r>
          </w:p>
        </w:tc>
        <w:tc>
          <w:tcPr>
            <w:tcW w:type="dxa" w:w="2267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地缘、政策、灾害、跨语言事件发现</w:t>
            </w:r>
          </w:p>
        </w:tc>
        <w:tc>
          <w:tcPr>
            <w:tcW w:type="dxa" w:w="3429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约 15 分钟更新；噪声高，不作为单独确认依据</w:t>
            </w:r>
          </w:p>
        </w:tc>
      </w:tr>
      <w:tr>
        <w:trPr>
          <w:cantSplit/>
        </w:trPr>
        <w:tc>
          <w:tcPr>
            <w:tcW w:type="dxa" w:w="13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财经发现</w:t>
            </w:r>
          </w:p>
        </w:tc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Marketaux Free</w:t>
            </w:r>
          </w:p>
        </w:tc>
        <w:tc>
          <w:tcPr>
            <w:tcW w:type="dxa" w:w="226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财经文章发现、实体候选与来源链接</w:t>
            </w:r>
          </w:p>
        </w:tc>
        <w:tc>
          <w:tcPr>
            <w:tcW w:type="dxa" w:w="342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100 请求/日、每次最多 3 篇；只有短摘要，必须缓存并限额</w:t>
            </w:r>
          </w:p>
        </w:tc>
      </w:tr>
      <w:tr>
        <w:trPr>
          <w:cantSplit/>
        </w:trPr>
        <w:tc>
          <w:tcPr>
            <w:tcW w:type="dxa" w:w="1332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可选新闻流</w:t>
            </w:r>
          </w:p>
        </w:tc>
        <w:tc>
          <w:tcPr>
            <w:tcW w:type="dxa" w:w="2381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Alpaca News（仅当账户当前免费权限可用）</w:t>
            </w:r>
          </w:p>
        </w:tc>
        <w:tc>
          <w:tcPr>
            <w:tcW w:type="dxa" w:w="2267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美股实时/历史新闻补充</w:t>
            </w:r>
          </w:p>
        </w:tc>
        <w:tc>
          <w:tcPr>
            <w:tcW w:type="dxa" w:w="3429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权限和定价可能变化；必须可一键关闭，不能成为核心依赖</w:t>
            </w:r>
          </w:p>
        </w:tc>
      </w:tr>
      <w:tr>
        <w:trPr>
          <w:cantSplit/>
        </w:trPr>
        <w:tc>
          <w:tcPr>
            <w:tcW w:type="dxa" w:w="13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加密原文</w:t>
            </w:r>
          </w:p>
        </w:tc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Binance / 交易所公告、项目官方博客、状态页、GitHub Release</w:t>
            </w:r>
          </w:p>
        </w:tc>
        <w:tc>
          <w:tcPr>
            <w:tcW w:type="dxa" w:w="226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上币、维护、漏洞、停机、协议更新</w:t>
            </w:r>
          </w:p>
        </w:tc>
        <w:tc>
          <w:tcPr>
            <w:tcW w:type="dxa" w:w="342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来源格式不一；官网内容可能改版</w:t>
            </w:r>
          </w:p>
        </w:tc>
      </w:tr>
      <w:tr>
        <w:trPr>
          <w:cantSplit/>
        </w:trPr>
        <w:tc>
          <w:tcPr>
            <w:tcW w:type="dxa" w:w="1332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加密行情</w:t>
            </w:r>
          </w:p>
        </w:tc>
        <w:tc>
          <w:tcPr>
            <w:tcW w:type="dxa" w:w="2381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Binance Public WebSocket / REST</w:t>
            </w:r>
          </w:p>
        </w:tc>
        <w:tc>
          <w:tcPr>
            <w:tcW w:type="dxa" w:w="2267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价格、成交量、资金费率、持仓量等交易所口径指标</w:t>
            </w:r>
          </w:p>
        </w:tc>
        <w:tc>
          <w:tcPr>
            <w:tcW w:type="dxa" w:w="3429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仅代表 Binance；需标注合约/现货与交易对</w:t>
            </w:r>
          </w:p>
        </w:tc>
      </w:tr>
      <w:tr>
        <w:trPr>
          <w:cantSplit/>
        </w:trPr>
        <w:tc>
          <w:tcPr>
            <w:tcW w:type="dxa" w:w="13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美股行情</w:t>
            </w:r>
          </w:p>
        </w:tc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Alpaca Free IEX 或其他合法免费 IEX 权限</w:t>
            </w:r>
          </w:p>
        </w:tc>
        <w:tc>
          <w:tcPr>
            <w:tcW w:type="dxa" w:w="226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分钟价格、收益与 IEX 口径成交量</w:t>
            </w:r>
          </w:p>
        </w:tc>
        <w:tc>
          <w:tcPr>
            <w:tcW w:type="dxa" w:w="342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IEX 只覆盖部分市场成交；RVOL 必须命名为 IEX_RVOL</w:t>
            </w:r>
          </w:p>
        </w:tc>
      </w:tr>
      <w:tr>
        <w:trPr>
          <w:cantSplit/>
        </w:trPr>
        <w:tc>
          <w:tcPr>
            <w:tcW w:type="dxa" w:w="1332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宏观数据</w:t>
            </w:r>
          </w:p>
        </w:tc>
        <w:tc>
          <w:tcPr>
            <w:tcW w:type="dxa" w:w="2381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BLS / BEA / FRED / Fed 官方接口与发布</w:t>
            </w:r>
          </w:p>
        </w:tc>
        <w:tc>
          <w:tcPr>
            <w:tcW w:type="dxa" w:w="2267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实际值、历史序列、政策文件</w:t>
            </w:r>
          </w:p>
        </w:tc>
        <w:tc>
          <w:tcPr>
            <w:tcW w:type="dxa" w:w="3429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一致预期通常不免费；没有可靠来源时不计算 surprise</w:t>
            </w:r>
          </w:p>
        </w:tc>
      </w:tr>
      <w:tr>
        <w:trPr>
          <w:cantSplit/>
        </w:trPr>
        <w:tc>
          <w:tcPr>
            <w:tcW w:type="dxa" w:w="13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中文试验层</w:t>
            </w:r>
          </w:p>
        </w:tc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证监会/交易所/央行/统计局/公司公告；AKShare 等开源适配器</w:t>
            </w:r>
          </w:p>
        </w:tc>
        <w:tc>
          <w:tcPr>
            <w:tcW w:type="dxa" w:w="226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A/H 股公告与中文公开页面补充</w:t>
            </w:r>
          </w:p>
        </w:tc>
        <w:tc>
          <w:tcPr>
            <w:tcW w:type="dxa" w:w="342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开源采集无 SLA、网页变动即失效；只作实验发现层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4.2 核心与试验依赖的分界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12"/>
      </w:tblGrid>
      <w:tr>
        <w:tc>
          <w:tcPr>
            <w:tcW w:type="dxa" w:w="198"/>
            <w:shd w:fill="1F6672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9212"/>
            <w:shd w:fill="EAF3F7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40" w:line="283" w:lineRule="auto"/>
            </w:pPr>
            <w:r/>
            <w:r>
              <w:rPr>
                <w:rFonts w:ascii="Noto Sans CJK SC" w:hAnsi="Noto Sans CJK SC" w:eastAsia="Noto Sans CJK SC"/>
                <w:b/>
                <w:color w:val="1F6672"/>
                <w:sz w:val="20"/>
              </w:rPr>
              <w:t>核心运行标准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40515D"/>
                <w:sz w:val="19"/>
              </w:rPr>
              <w:t>一个来源只有在“无需付费、无需短期试用、允许当前使用方式、稳定运行 48 小时并能被替换”时，才进入 production=true。其他来源统一标为 experimental。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4138"/>
        <w:gridCol w:w="2948"/>
      </w:tblGrid>
      <w:tr>
        <w:trPr>
          <w:tblHeader w:val="true"/>
          <w:cantSplit/>
        </w:trPr>
        <w:tc>
          <w:tcPr>
            <w:tcW w:type="dxa" w:w="2324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不纳入核心的来源</w:t>
            </w:r>
          </w:p>
        </w:tc>
        <w:tc>
          <w:tcPr>
            <w:tcW w:type="dxa" w:w="4138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</w:t>
            </w:r>
          </w:p>
        </w:tc>
        <w:tc>
          <w:tcPr>
            <w:tcW w:type="dxa" w:w="2948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NewsAPI.ai / Event Registry</w:t>
            </w:r>
          </w:p>
        </w:tc>
        <w:tc>
          <w:tcPr>
            <w:tcW w:type="dxa" w:w="413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免费额度属于试用性质，不能承担长期运行量</w:t>
            </w:r>
          </w:p>
        </w:tc>
        <w:tc>
          <w:tcPr>
            <w:tcW w:type="dxa" w:w="29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仅用于离线效果对比</w:t>
            </w:r>
          </w:p>
        </w:tc>
      </w:tr>
      <w:tr>
        <w:trPr>
          <w:cantSplit/>
        </w:trPr>
        <w:tc>
          <w:tcPr>
            <w:tcW w:type="dxa" w:w="232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Tushare 新闻接口</w:t>
            </w:r>
          </w:p>
        </w:tc>
        <w:tc>
          <w:tcPr>
            <w:tcW w:type="dxa" w:w="4138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新闻权限需单独付费</w:t>
            </w:r>
          </w:p>
        </w:tc>
        <w:tc>
          <w:tcPr>
            <w:tcW w:type="dxa" w:w="2948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不进入零成本运行链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CryptoPanic / Trading Economics 等</w:t>
            </w:r>
          </w:p>
        </w:tc>
        <w:tc>
          <w:tcPr>
            <w:tcW w:type="dxa" w:w="413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核心实时能力需付费或免费政策不稳定</w:t>
            </w:r>
          </w:p>
        </w:tc>
        <w:tc>
          <w:tcPr>
            <w:tcW w:type="dxa" w:w="29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不作为依赖；接入前重新核验</w:t>
            </w:r>
          </w:p>
        </w:tc>
      </w:tr>
      <w:tr>
        <w:trPr>
          <w:cantSplit/>
        </w:trPr>
        <w:tc>
          <w:tcPr>
            <w:tcW w:type="dxa" w:w="232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Wind / iFinD / LSEG / Factiva</w:t>
            </w:r>
          </w:p>
        </w:tc>
        <w:tc>
          <w:tcPr>
            <w:tcW w:type="dxa" w:w="4138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机构授权与再分发条款复杂</w:t>
            </w:r>
          </w:p>
        </w:tc>
        <w:tc>
          <w:tcPr>
            <w:tcW w:type="dxa" w:w="2948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V1.0 排除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美股 SIP 全市场实时行情</w:t>
            </w:r>
          </w:p>
        </w:tc>
        <w:tc>
          <w:tcPr>
            <w:tcW w:type="dxa" w:w="413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通常需要行情订阅</w:t>
            </w:r>
          </w:p>
        </w:tc>
        <w:tc>
          <w:tcPr>
            <w:tcW w:type="dxa" w:w="29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V1.0 使用 IEX 并明确口径</w:t>
            </w:r>
          </w:p>
        </w:tc>
      </w:tr>
      <w:tr>
        <w:trPr>
          <w:cantSplit/>
        </w:trPr>
        <w:tc>
          <w:tcPr>
            <w:tcW w:type="dxa" w:w="232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无授权网页全文爬取</w:t>
            </w:r>
          </w:p>
        </w:tc>
        <w:tc>
          <w:tcPr>
            <w:tcW w:type="dxa" w:w="4138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版权、条款与反爬风险</w:t>
            </w:r>
          </w:p>
        </w:tc>
        <w:tc>
          <w:tcPr>
            <w:tcW w:type="dxa" w:w="2948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只存元数据、短摘要、哈希和原文链接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4.3 来源注册表字段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4"/>
        <w:gridCol w:w="6576"/>
      </w:tblGrid>
      <w:tr>
        <w:trPr>
          <w:tblHeader w:val="true"/>
          <w:cantSplit/>
        </w:trPr>
        <w:tc>
          <w:tcPr>
            <w:tcW w:type="dxa" w:w="2834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576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83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source_id / name</w:t>
            </w:r>
          </w:p>
        </w:tc>
        <w:tc>
          <w:tcPr>
            <w:tcW w:type="dxa" w:w="65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稳定标识与显示名称</w:t>
            </w:r>
          </w:p>
        </w:tc>
      </w:tr>
      <w:tr>
        <w:trPr>
          <w:cantSplit/>
        </w:trPr>
        <w:tc>
          <w:tcPr>
            <w:tcW w:type="dxa" w:w="283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tier / authority_type</w:t>
            </w:r>
          </w:p>
        </w:tc>
        <w:tc>
          <w:tcPr>
            <w:tcW w:type="dxa" w:w="6576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P0–P3；监管、统计、公司、媒体、聚合、社交</w:t>
            </w:r>
          </w:p>
        </w:tc>
      </w:tr>
      <w:tr>
        <w:trPr>
          <w:cantSplit/>
        </w:trPr>
        <w:tc>
          <w:tcPr>
            <w:tcW w:type="dxa" w:w="283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access_mode</w:t>
            </w:r>
          </w:p>
        </w:tc>
        <w:tc>
          <w:tcPr>
            <w:tcW w:type="dxa" w:w="65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RSS、REST、WebSocket、HTML、邮件转发</w:t>
            </w:r>
          </w:p>
        </w:tc>
      </w:tr>
      <w:tr>
        <w:trPr>
          <w:cantSplit/>
        </w:trPr>
        <w:tc>
          <w:tcPr>
            <w:tcW w:type="dxa" w:w="283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latency_target</w:t>
            </w:r>
          </w:p>
        </w:tc>
        <w:tc>
          <w:tcPr>
            <w:tcW w:type="dxa" w:w="6576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预期刷新周期与超时阈值</w:t>
            </w:r>
          </w:p>
        </w:tc>
      </w:tr>
      <w:tr>
        <w:trPr>
          <w:cantSplit/>
        </w:trPr>
        <w:tc>
          <w:tcPr>
            <w:tcW w:type="dxa" w:w="283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terms_url / robots_policy</w:t>
            </w:r>
          </w:p>
        </w:tc>
        <w:tc>
          <w:tcPr>
            <w:tcW w:type="dxa" w:w="65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使用条款、robots 与允许保存的内容范围</w:t>
            </w:r>
          </w:p>
        </w:tc>
      </w:tr>
      <w:tr>
        <w:trPr>
          <w:cantSplit/>
        </w:trPr>
        <w:tc>
          <w:tcPr>
            <w:tcW w:type="dxa" w:w="283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quota / backoff</w:t>
            </w:r>
          </w:p>
        </w:tc>
        <w:tc>
          <w:tcPr>
            <w:tcW w:type="dxa" w:w="6576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免费配额、并发、退避与缓存策略</w:t>
            </w:r>
          </w:p>
        </w:tc>
      </w:tr>
      <w:tr>
        <w:trPr>
          <w:cantSplit/>
        </w:trPr>
        <w:tc>
          <w:tcPr>
            <w:tcW w:type="dxa" w:w="283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parser_version</w:t>
            </w:r>
          </w:p>
        </w:tc>
        <w:tc>
          <w:tcPr>
            <w:tcW w:type="dxa" w:w="65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解析器版本与最近成功时间</w:t>
            </w:r>
          </w:p>
        </w:tc>
      </w:tr>
      <w:tr>
        <w:trPr>
          <w:cantSplit/>
        </w:trPr>
        <w:tc>
          <w:tcPr>
            <w:tcW w:type="dxa" w:w="283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production / experimental</w:t>
            </w:r>
          </w:p>
        </w:tc>
        <w:tc>
          <w:tcPr>
            <w:tcW w:type="dxa" w:w="6576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是否允许进入正式告警链</w:t>
            </w:r>
          </w:p>
        </w:tc>
      </w:tr>
    </w:tbl>
    <w:p>
      <w:pPr>
        <w:spacing w:after="0"/>
      </w:pPr>
    </w:p>
    <w:p>
      <w:pPr>
        <w:pStyle w:val="Heading1"/>
        <w:pageBreakBefore w:val="0"/>
        <w:pBdr>
          <w:bottom w:val="single" w:sz="7" w:space="5" w:color="2A7F8E"/>
        </w:pBdr>
      </w:pPr>
      <w:r>
        <w:t>5. 事件分级、可信度与资产映射</w:t>
      </w:r>
    </w:p>
    <w:p>
      <w:pPr>
        <w:pStyle w:val="Heading2"/>
        <w:pageBreakBefore w:val="0"/>
      </w:pPr>
      <w:r>
        <w:t>5.1 严重度 S / A / B /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8"/>
        <w:gridCol w:w="2522"/>
        <w:gridCol w:w="3429"/>
        <w:gridCol w:w="2749"/>
      </w:tblGrid>
      <w:tr>
        <w:trPr>
          <w:tblHeader w:val="true"/>
          <w:cantSplit/>
        </w:trPr>
        <w:tc>
          <w:tcPr>
            <w:tcW w:type="dxa" w:w="708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2522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3429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典型事件</w:t>
            </w:r>
          </w:p>
        </w:tc>
        <w:tc>
          <w:tcPr>
            <w:tcW w:type="dxa" w:w="2749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系统动作</w:t>
            </w:r>
          </w:p>
        </w:tc>
      </w:tr>
      <w:tr>
        <w:trPr>
          <w:cantSplit/>
        </w:trPr>
        <w:tc>
          <w:tcPr>
            <w:tcW w:type="dxa" w:w="70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S</w:t>
            </w:r>
          </w:p>
        </w:tc>
        <w:tc>
          <w:tcPr>
            <w:tcW w:type="dxa" w:w="252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可能造成资产价值重估、交易中断、偿付/资本重大受损或系统性影响</w:t>
            </w:r>
          </w:p>
        </w:tc>
        <w:tc>
          <w:tcPr>
            <w:tcW w:type="dxa" w:w="342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正式执法/刑事调查；破产/违约；重大财务重述；关键产品禁令；交易所挤兑或核心协议漏洞；意外政策转向</w:t>
            </w:r>
          </w:p>
        </w:tc>
        <w:tc>
          <w:tcPr>
            <w:tcW w:type="dxa" w:w="274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立即进入验证链；P0/P1 才可标“已确认”</w:t>
            </w:r>
          </w:p>
        </w:tc>
      </w:tr>
      <w:tr>
        <w:trPr>
          <w:cantSplit/>
        </w:trPr>
        <w:tc>
          <w:tcPr>
            <w:tcW w:type="dxa" w:w="708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A</w:t>
            </w:r>
          </w:p>
        </w:tc>
        <w:tc>
          <w:tcPr>
            <w:tcW w:type="dxa" w:w="2522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对公司、行业或宏观预期具有实质影响，但影响范围或确定性低于 S</w:t>
            </w:r>
          </w:p>
        </w:tc>
        <w:tc>
          <w:tcPr>
            <w:tcW w:type="dxa" w:w="3429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重大并购、指引大幅变化、关键高管离任、重大产能事故、重要审批、显著宏观偏离</w:t>
            </w:r>
          </w:p>
        </w:tc>
        <w:tc>
          <w:tcPr>
            <w:tcW w:type="dxa" w:w="2749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主动推送；等待行情窗口</w:t>
            </w:r>
          </w:p>
        </w:tc>
      </w:tr>
      <w:tr>
        <w:trPr>
          <w:cantSplit/>
        </w:trPr>
        <w:tc>
          <w:tcPr>
            <w:tcW w:type="dxa" w:w="70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B</w:t>
            </w:r>
          </w:p>
        </w:tc>
        <w:tc>
          <w:tcPr>
            <w:tcW w:type="dxa" w:w="252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相关但影响有限、已有预期、可逆或缺少新增事实</w:t>
            </w:r>
          </w:p>
        </w:tc>
        <w:tc>
          <w:tcPr>
            <w:tcW w:type="dxa" w:w="342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常规评级变化、一般产品发布、轻微运营更新、重复报道</w:t>
            </w:r>
          </w:p>
        </w:tc>
        <w:tc>
          <w:tcPr>
            <w:tcW w:type="dxa" w:w="274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进入摘要或观察池</w:t>
            </w:r>
          </w:p>
        </w:tc>
      </w:tr>
      <w:tr>
        <w:trPr>
          <w:cantSplit/>
        </w:trPr>
        <w:tc>
          <w:tcPr>
            <w:tcW w:type="dxa" w:w="708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C</w:t>
            </w:r>
          </w:p>
        </w:tc>
        <w:tc>
          <w:tcPr>
            <w:tcW w:type="dxa" w:w="2522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低信息量、评论性、营销性或与关注资产弱相关</w:t>
            </w:r>
          </w:p>
        </w:tc>
        <w:tc>
          <w:tcPr>
            <w:tcW w:type="dxa" w:w="3429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观点稿、泛泛市场回顾、无新增事实的改写</w:t>
            </w:r>
          </w:p>
        </w:tc>
        <w:tc>
          <w:tcPr>
            <w:tcW w:type="dxa" w:w="2749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默认不推送，仅保留统计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5.2 可信度 P0–P3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3968"/>
        <w:gridCol w:w="4648"/>
      </w:tblGrid>
      <w:tr>
        <w:trPr>
          <w:tblHeader w:val="true"/>
          <w:cantSplit/>
        </w:trPr>
        <w:tc>
          <w:tcPr>
            <w:tcW w:type="dxa" w:w="793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3968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4648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使用规则</w:t>
            </w:r>
          </w:p>
        </w:tc>
      </w:tr>
      <w:tr>
        <w:trPr>
          <w:cantSplit/>
        </w:trPr>
        <w:tc>
          <w:tcPr>
            <w:tcW w:type="dxa" w:w="79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P0</w:t>
            </w:r>
          </w:p>
        </w:tc>
        <w:tc>
          <w:tcPr>
            <w:tcW w:type="dxa" w:w="39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监管/法院/交易所正式文件；统计机构原始发布；可验证的法律或公告文档</w:t>
            </w:r>
          </w:p>
        </w:tc>
        <w:tc>
          <w:tcPr>
            <w:tcW w:type="dxa" w:w="46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可直接确认文档中明确陈述的事实</w:t>
            </w:r>
          </w:p>
        </w:tc>
      </w:tr>
      <w:tr>
        <w:trPr>
          <w:cantSplit/>
        </w:trPr>
        <w:tc>
          <w:tcPr>
            <w:tcW w:type="dxa" w:w="793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P1</w:t>
            </w:r>
          </w:p>
        </w:tc>
        <w:tc>
          <w:tcPr>
            <w:tcW w:type="dxa" w:w="3968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公司 IR、正式新闻稿、管理层正式讲话、项目官方公告</w:t>
            </w:r>
          </w:p>
        </w:tc>
        <w:tc>
          <w:tcPr>
            <w:tcW w:type="dxa" w:w="4648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可确认主体自身陈述；涉及责任认定仍以监管/法院为准</w:t>
            </w:r>
          </w:p>
        </w:tc>
      </w:tr>
      <w:tr>
        <w:trPr>
          <w:cantSplit/>
        </w:trPr>
        <w:tc>
          <w:tcPr>
            <w:tcW w:type="dxa" w:w="79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P2</w:t>
            </w:r>
          </w:p>
        </w:tc>
        <w:tc>
          <w:tcPr>
            <w:tcW w:type="dxa" w:w="39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信誉媒体、免费聚合 API、记者报道</w:t>
            </w:r>
          </w:p>
        </w:tc>
        <w:tc>
          <w:tcPr>
            <w:tcW w:type="dxa" w:w="46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用于发现与上下文；重大事件需交叉验证</w:t>
            </w:r>
          </w:p>
        </w:tc>
      </w:tr>
      <w:tr>
        <w:trPr>
          <w:cantSplit/>
        </w:trPr>
        <w:tc>
          <w:tcPr>
            <w:tcW w:type="dxa" w:w="793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P3</w:t>
            </w:r>
          </w:p>
        </w:tc>
        <w:tc>
          <w:tcPr>
            <w:tcW w:type="dxa" w:w="3968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社交帖子、匿名爆料、二次转述</w:t>
            </w:r>
          </w:p>
        </w:tc>
        <w:tc>
          <w:tcPr>
            <w:tcW w:type="dxa" w:w="4648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仅生成候选，不主动标 S/A 已确认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5.3 新颖度与市场反应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7710"/>
      </w:tblGrid>
      <w:tr>
        <w:trPr>
          <w:tblHeader w:val="true"/>
          <w:cantSplit/>
        </w:trPr>
        <w:tc>
          <w:tcPr>
            <w:tcW w:type="dxa" w:w="1700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标签</w:t>
            </w:r>
          </w:p>
        </w:tc>
        <w:tc>
          <w:tcPr>
            <w:tcW w:type="dxa" w:w="7710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N2 首次事实</w:t>
            </w:r>
          </w:p>
        </w:tc>
        <w:tc>
          <w:tcPr>
            <w:tcW w:type="dxa" w:w="771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首次出现关键事实或数字；可改变当前判断</w:t>
            </w:r>
          </w:p>
        </w:tc>
      </w:tr>
      <w:tr>
        <w:trPr>
          <w:cantSplit/>
        </w:trPr>
        <w:tc>
          <w:tcPr>
            <w:tcW w:type="dxa" w:w="170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N1 实质更新</w:t>
            </w:r>
          </w:p>
        </w:tc>
        <w:tc>
          <w:tcPr>
            <w:tcW w:type="dxa" w:w="771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同一事件新增文件、回应、金额、时间表或法律状态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N0 重复/改写</w:t>
            </w:r>
          </w:p>
        </w:tc>
        <w:tc>
          <w:tcPr>
            <w:tcW w:type="dxa" w:w="771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无新增事实，仅标题或措辞变化；合并到原事件</w:t>
            </w:r>
          </w:p>
        </w:tc>
      </w:tr>
      <w:tr>
        <w:trPr>
          <w:cantSplit/>
        </w:trPr>
        <w:tc>
          <w:tcPr>
            <w:tcW w:type="dxa" w:w="170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R3 强反应</w:t>
            </w:r>
          </w:p>
        </w:tc>
        <w:tc>
          <w:tcPr>
            <w:tcW w:type="dxa" w:w="771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超过资产/时段自适应阈值，且价格与流动性指标共同确认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R2 中反应</w:t>
            </w:r>
          </w:p>
        </w:tc>
        <w:tc>
          <w:tcPr>
            <w:tcW w:type="dxa" w:w="771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价格或波动显著，但另一维度未确认</w:t>
            </w:r>
          </w:p>
        </w:tc>
      </w:tr>
      <w:tr>
        <w:trPr>
          <w:cantSplit/>
        </w:trPr>
        <w:tc>
          <w:tcPr>
            <w:tcW w:type="dxa" w:w="170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R1 弱反应</w:t>
            </w:r>
          </w:p>
        </w:tc>
        <w:tc>
          <w:tcPr>
            <w:tcW w:type="dxa" w:w="771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小幅波动或与基准接近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R0 无/不可用</w:t>
            </w:r>
          </w:p>
        </w:tc>
        <w:tc>
          <w:tcPr>
            <w:tcW w:type="dxa" w:w="771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尚无行情、市场休市、数据不完整或未见可区分反应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12"/>
      </w:tblGrid>
      <w:tr>
        <w:tc>
          <w:tcPr>
            <w:tcW w:type="dxa" w:w="198"/>
            <w:shd w:fill="B5483A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9212"/>
            <w:shd w:fill="FCEDEA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40" w:line="283" w:lineRule="auto"/>
            </w:pPr>
            <w:r/>
            <w:r>
              <w:rPr>
                <w:rFonts w:ascii="Noto Sans CJK SC" w:hAnsi="Noto Sans CJK SC" w:eastAsia="Noto Sans CJK SC"/>
                <w:b/>
                <w:color w:val="B5483A"/>
                <w:sz w:val="20"/>
              </w:rPr>
              <w:t>硬性门槛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40515D"/>
                <w:sz w:val="19"/>
              </w:rPr>
              <w:t>严重度为 S 但来源仅 P2/P3 时，显示“S 候选 · 待核验”；只有 P0/P1 或满足预设交叉验证规则，才可显示“S · 已确认”。市场下跌不能反向证明新闻为真。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5.4 综合告警逻辑</w:t>
      </w:r>
    </w:p>
    <w:p>
      <w:pPr>
        <w:keepNext w:val="0"/>
        <w:widowControl/>
        <w:spacing w:before="0" w:after="100" w:line="300" w:lineRule="auto"/>
      </w:pPr>
      <w:r>
        <w:rPr>
          <w:rFonts w:ascii="Noto Sans CJK SC" w:hAnsi="Noto Sans CJK SC" w:eastAsia="Noto Sans CJK SC"/>
          <w:color w:val="40515D"/>
        </w:rPr>
        <w:t>系统保留多维字段，并使用透明规则决定推送优先级：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keepNext w:val="0"/>
              <w:widowControl/>
              <w:spacing w:before="0" w:after="0" w:line="252" w:lineRule="auto"/>
            </w:pPr>
            <w:r/>
            <w:r>
              <w:rPr>
                <w:rFonts w:ascii="DejaVu Sans Mono" w:hAnsi="DejaVu Sans Mono" w:eastAsia="DejaVu Sans Mono"/>
                <w:color w:val="40515D"/>
                <w:sz w:val="15"/>
              </w:rPr>
              <w:t>if severity == 'S' and credibility in {'P0','P1'}:</w:t>
            </w:r>
            <w:r>
              <w:br/>
            </w:r>
            <w:r>
              <w:rPr>
                <w:rFonts w:ascii="DejaVu Sans Mono" w:hAnsi="DejaVu Sans Mono" w:eastAsia="DejaVu Sans Mono"/>
                <w:color w:val="40515D"/>
                <w:sz w:val="15"/>
              </w:rPr>
              <w:t xml:space="preserve">    alert = 'URGENT_CONFIRMED'</w:t>
            </w:r>
            <w:r>
              <w:br/>
            </w:r>
            <w:r>
              <w:rPr>
                <w:rFonts w:ascii="DejaVu Sans Mono" w:hAnsi="DejaVu Sans Mono" w:eastAsia="DejaVu Sans Mono"/>
                <w:color w:val="40515D"/>
                <w:sz w:val="15"/>
              </w:rPr>
              <w:t>elif severity == 'S':</w:t>
            </w:r>
            <w:r>
              <w:br/>
            </w:r>
            <w:r>
              <w:rPr>
                <w:rFonts w:ascii="DejaVu Sans Mono" w:hAnsi="DejaVu Sans Mono" w:eastAsia="DejaVu Sans Mono"/>
                <w:color w:val="40515D"/>
                <w:sz w:val="15"/>
              </w:rPr>
              <w:t xml:space="preserve">    alert = 'URGENT_VERIFYING'</w:t>
            </w:r>
            <w:r>
              <w:br/>
            </w:r>
            <w:r>
              <w:rPr>
                <w:rFonts w:ascii="DejaVu Sans Mono" w:hAnsi="DejaVu Sans Mono" w:eastAsia="DejaVu Sans Mono"/>
                <w:color w:val="40515D"/>
                <w:sz w:val="15"/>
              </w:rPr>
              <w:t>elif severity == 'A' and novelty &gt;= 'N1':</w:t>
            </w:r>
            <w:r>
              <w:br/>
            </w:r>
            <w:r>
              <w:rPr>
                <w:rFonts w:ascii="DejaVu Sans Mono" w:hAnsi="DejaVu Sans Mono" w:eastAsia="DejaVu Sans Mono"/>
                <w:color w:val="40515D"/>
                <w:sz w:val="15"/>
              </w:rPr>
              <w:t xml:space="preserve">    alert = 'MATERIAL'</w:t>
            </w:r>
            <w:r>
              <w:br/>
            </w:r>
            <w:r>
              <w:rPr>
                <w:rFonts w:ascii="DejaVu Sans Mono" w:hAnsi="DejaVu Sans Mono" w:eastAsia="DejaVu Sans Mono"/>
                <w:color w:val="40515D"/>
                <w:sz w:val="15"/>
              </w:rPr>
              <w:t>elif severity == 'B' and reaction == 'R3':</w:t>
            </w:r>
            <w:r>
              <w:br/>
            </w:r>
            <w:r>
              <w:rPr>
                <w:rFonts w:ascii="DejaVu Sans Mono" w:hAnsi="DejaVu Sans Mono" w:eastAsia="DejaVu Sans Mono"/>
                <w:color w:val="40515D"/>
                <w:sz w:val="15"/>
              </w:rPr>
              <w:t xml:space="preserve">    alert = 'MARKET_ANOMALY'</w:t>
            </w:r>
            <w:r>
              <w:br/>
            </w:r>
            <w:r>
              <w:rPr>
                <w:rFonts w:ascii="DejaVu Sans Mono" w:hAnsi="DejaVu Sans Mono" w:eastAsia="DejaVu Sans Mono"/>
                <w:color w:val="40515D"/>
                <w:sz w:val="15"/>
              </w:rPr>
              <w:t>else:</w:t>
            </w:r>
            <w:r>
              <w:br/>
            </w:r>
            <w:r>
              <w:rPr>
                <w:rFonts w:ascii="DejaVu Sans Mono" w:hAnsi="DejaVu Sans Mono" w:eastAsia="DejaVu Sans Mono"/>
                <w:color w:val="40515D"/>
                <w:sz w:val="15"/>
              </w:rPr>
              <w:t xml:space="preserve">    alert = 'DIGEST_OR_ARCHIVE'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5.5 资产映射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3628"/>
        <w:gridCol w:w="3855"/>
      </w:tblGrid>
      <w:tr>
        <w:trPr>
          <w:tblHeader w:val="true"/>
          <w:cantSplit/>
        </w:trPr>
        <w:tc>
          <w:tcPr>
            <w:tcW w:type="dxa" w:w="1927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关系</w:t>
            </w:r>
          </w:p>
        </w:tc>
        <w:tc>
          <w:tcPr>
            <w:tcW w:type="dxa" w:w="3628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855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证据要求</w:t>
            </w:r>
          </w:p>
        </w:tc>
      </w:tr>
      <w:tr>
        <w:trPr>
          <w:cantSplit/>
        </w:trPr>
        <w:tc>
          <w:tcPr>
            <w:tcW w:type="dxa" w:w="192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PRIMARY</w:t>
            </w:r>
          </w:p>
        </w:tc>
        <w:tc>
          <w:tcPr>
            <w:tcW w:type="dxa" w:w="36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事件主体直接对应的股票、债券、代币或商品</w:t>
            </w:r>
          </w:p>
        </w:tc>
        <w:tc>
          <w:tcPr>
            <w:tcW w:type="dxa" w:w="385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公司 CIK/LEI、交易所代码、合约/代币地址</w:t>
            </w:r>
          </w:p>
        </w:tc>
      </w:tr>
      <w:tr>
        <w:trPr>
          <w:cantSplit/>
        </w:trPr>
        <w:tc>
          <w:tcPr>
            <w:tcW w:type="dxa" w:w="1927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BENCHMARK</w:t>
            </w:r>
          </w:p>
        </w:tc>
        <w:tc>
          <w:tcPr>
            <w:tcW w:type="dxa" w:w="3628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用于计算异常收益的指数、行业 ETF 或 BTC/ETH 基准</w:t>
            </w:r>
          </w:p>
        </w:tc>
        <w:tc>
          <w:tcPr>
            <w:tcW w:type="dxa" w:w="3855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固定基准表 + 资产类别规则</w:t>
            </w:r>
          </w:p>
        </w:tc>
      </w:tr>
      <w:tr>
        <w:trPr>
          <w:cantSplit/>
        </w:trPr>
        <w:tc>
          <w:tcPr>
            <w:tcW w:type="dxa" w:w="192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SECTOR</w:t>
            </w:r>
          </w:p>
        </w:tc>
        <w:tc>
          <w:tcPr>
            <w:tcW w:type="dxa" w:w="36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同产业或同因子暴露的行业 ETF / 代表资产</w:t>
            </w:r>
          </w:p>
        </w:tc>
        <w:tc>
          <w:tcPr>
            <w:tcW w:type="dxa" w:w="385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行业分类映射；不等于因果关系</w:t>
            </w:r>
          </w:p>
        </w:tc>
      </w:tr>
      <w:tr>
        <w:trPr>
          <w:cantSplit/>
        </w:trPr>
        <w:tc>
          <w:tcPr>
            <w:tcW w:type="dxa" w:w="1927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SUPPLIER / CUSTOMER</w:t>
            </w:r>
          </w:p>
        </w:tc>
        <w:tc>
          <w:tcPr>
            <w:tcW w:type="dxa" w:w="3628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有公开证据的上下游主体</w:t>
            </w:r>
          </w:p>
        </w:tc>
        <w:tc>
          <w:tcPr>
            <w:tcW w:type="dxa" w:w="3855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关系来源、发布日期、置信度和有效期</w:t>
            </w:r>
          </w:p>
        </w:tc>
      </w:tr>
      <w:tr>
        <w:trPr>
          <w:cantSplit/>
        </w:trPr>
        <w:tc>
          <w:tcPr>
            <w:tcW w:type="dxa" w:w="192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MACRO_PROXY</w:t>
            </w:r>
          </w:p>
        </w:tc>
        <w:tc>
          <w:tcPr>
            <w:tcW w:type="dxa" w:w="36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利率、美元、黄金、原油等宏观代理</w:t>
            </w:r>
          </w:p>
        </w:tc>
        <w:tc>
          <w:tcPr>
            <w:tcW w:type="dxa" w:w="385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由事件类型规则触发，并标“代理关系”</w:t>
            </w:r>
          </w:p>
        </w:tc>
      </w:tr>
    </w:tbl>
    <w:p>
      <w:pPr>
        <w:spacing w:after="0"/>
      </w:pPr>
    </w:p>
    <w:p>
      <w:pPr>
        <w:keepNext w:val="0"/>
        <w:widowControl/>
        <w:spacing w:before="0" w:after="100" w:line="300" w:lineRule="auto"/>
      </w:pPr>
      <w:r>
        <w:rPr>
          <w:rFonts w:ascii="Noto Sans CJK SC" w:hAnsi="Noto Sans CJK SC" w:eastAsia="Noto Sans CJK SC"/>
          <w:color w:val="40515D"/>
        </w:rPr>
        <w:t>每个映射对象包含 relation_type、confidence、evidence_url 和 rationale。无法证明的供应链关系不进入主动告警，只可作为人工研究提示。</w:t>
      </w:r>
    </w:p>
    <w:p>
      <w:pPr>
        <w:pStyle w:val="Heading1"/>
        <w:pageBreakBefore w:val="0"/>
        <w:pBdr>
          <w:bottom w:val="single" w:sz="7" w:space="5" w:color="2A7F8E"/>
        </w:pBdr>
      </w:pPr>
      <w:r>
        <w:t>6. 市场指标与计算口径</w:t>
      </w:r>
    </w:p>
    <w:p>
      <w:pPr>
        <w:pStyle w:val="Heading2"/>
        <w:pageBreakBefore w:val="0"/>
      </w:pPr>
      <w:r>
        <w:t>6.1 时间锚点</w:t>
      </w:r>
    </w:p>
    <w:p>
      <w:pPr>
        <w:keepNext w:val="0"/>
        <w:widowControl/>
        <w:spacing w:before="0" w:after="100" w:line="300" w:lineRule="auto"/>
      </w:pPr>
      <w:r>
        <w:rPr>
          <w:rFonts w:ascii="Noto Sans CJK SC" w:hAnsi="Noto Sans CJK SC" w:eastAsia="Noto Sans CJK SC"/>
          <w:color w:val="40515D"/>
        </w:rPr>
        <w:t>每个事件至少保留三个时间：source_time（来源发布）、first_seen_at（系统首次捕获）和 confirmed_at（满足确认条件）。行情窗口默认以 first_seen_at 为 t0，同时保留 source_time 版本用于事后研究，防止把系统延迟误认为市场提前反应。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0"/>
        <w:gridCol w:w="1814"/>
        <w:gridCol w:w="2948"/>
        <w:gridCol w:w="3118"/>
      </w:tblGrid>
      <w:tr>
        <w:trPr>
          <w:tblHeader w:val="true"/>
          <w:cantSplit/>
        </w:trPr>
        <w:tc>
          <w:tcPr>
            <w:tcW w:type="dxa" w:w="1530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1814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948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口径</w:t>
            </w:r>
          </w:p>
        </w:tc>
        <w:tc>
          <w:tcPr>
            <w:tcW w:type="dxa" w:w="3118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约束</w:t>
            </w:r>
          </w:p>
        </w:tc>
      </w:tr>
      <w:tr>
        <w:trPr>
          <w:cantSplit/>
        </w:trPr>
        <w:tc>
          <w:tcPr>
            <w:tcW w:type="dxa" w:w="15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价格反应</w:t>
            </w:r>
          </w:p>
        </w:tc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r₁m / r₅m / r₁₅m / r₆₀m / 当日</w:t>
            </w:r>
          </w:p>
        </w:tc>
        <w:tc>
          <w:tcPr>
            <w:tcW w:type="dxa" w:w="29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P(t)/P(t0) − 1</w:t>
            </w:r>
          </w:p>
        </w:tc>
        <w:tc>
          <w:tcPr>
            <w:tcW w:type="dxa" w:w="311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标注交易所、交易对、复权和休市处理</w:t>
            </w:r>
          </w:p>
        </w:tc>
      </w:tr>
      <w:tr>
        <w:trPr>
          <w:cantSplit/>
        </w:trPr>
        <w:tc>
          <w:tcPr>
            <w:tcW w:type="dxa" w:w="153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异常收益</w:t>
            </w:r>
          </w:p>
        </w:tc>
        <w:tc>
          <w:tcPr>
            <w:tcW w:type="dxa" w:w="181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AR</w:t>
            </w:r>
          </w:p>
        </w:tc>
        <w:tc>
          <w:tcPr>
            <w:tcW w:type="dxa" w:w="2948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资产收益 − 基准收益</w:t>
            </w:r>
          </w:p>
        </w:tc>
        <w:tc>
          <w:tcPr>
            <w:tcW w:type="dxa" w:w="3118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基准缺失则不计算；不解释为因果</w:t>
            </w:r>
          </w:p>
        </w:tc>
      </w:tr>
      <w:tr>
        <w:trPr>
          <w:cantSplit/>
        </w:trPr>
        <w:tc>
          <w:tcPr>
            <w:tcW w:type="dxa" w:w="15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来源限定 RVOL</w:t>
            </w:r>
          </w:p>
        </w:tc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IEX_RVOL / BINANCE_RVOL</w:t>
            </w:r>
          </w:p>
        </w:tc>
        <w:tc>
          <w:tcPr>
            <w:tcW w:type="dxa" w:w="29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窗口成交量 ÷ 过去 20 个同时间窗中位数</w:t>
            </w:r>
          </w:p>
        </w:tc>
        <w:tc>
          <w:tcPr>
            <w:tcW w:type="dxa" w:w="311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名称必须带数据源；样本不足显示 N/A</w:t>
            </w:r>
          </w:p>
        </w:tc>
      </w:tr>
      <w:tr>
        <w:trPr>
          <w:cantSplit/>
        </w:trPr>
        <w:tc>
          <w:tcPr>
            <w:tcW w:type="dxa" w:w="153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实现波动率</w:t>
            </w:r>
          </w:p>
        </w:tc>
        <w:tc>
          <w:tcPr>
            <w:tcW w:type="dxa" w:w="181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RV / RV percentile</w:t>
            </w:r>
          </w:p>
        </w:tc>
        <w:tc>
          <w:tcPr>
            <w:tcW w:type="dxa" w:w="2948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窗口对数收益标准差并按频率年化</w:t>
            </w:r>
          </w:p>
        </w:tc>
        <w:tc>
          <w:tcPr>
            <w:tcW w:type="dxa" w:w="3118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同时展示历史分位，避免跨资产直接比较绝对值</w:t>
            </w:r>
          </w:p>
        </w:tc>
      </w:tr>
      <w:tr>
        <w:trPr>
          <w:cantSplit/>
        </w:trPr>
        <w:tc>
          <w:tcPr>
            <w:tcW w:type="dxa" w:w="15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ATR%</w:t>
            </w:r>
          </w:p>
        </w:tc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ATR(14) / close</w:t>
            </w:r>
          </w:p>
        </w:tc>
        <w:tc>
          <w:tcPr>
            <w:tcW w:type="dxa" w:w="29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真实波幅均值占价格比例</w:t>
            </w:r>
          </w:p>
        </w:tc>
        <w:tc>
          <w:tcPr>
            <w:tcW w:type="dxa" w:w="311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用于自适应阈值，不单独做方向判断</w:t>
            </w:r>
          </w:p>
        </w:tc>
      </w:tr>
      <w:tr>
        <w:trPr>
          <w:cantSplit/>
        </w:trPr>
        <w:tc>
          <w:tcPr>
            <w:tcW w:type="dxa" w:w="153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跳空 / 流动性</w:t>
            </w:r>
          </w:p>
        </w:tc>
        <w:tc>
          <w:tcPr>
            <w:tcW w:type="dxa" w:w="181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gap、spread、trade count</w:t>
            </w:r>
          </w:p>
        </w:tc>
        <w:tc>
          <w:tcPr>
            <w:tcW w:type="dxa" w:w="2948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按可获得数据计算</w:t>
            </w:r>
          </w:p>
        </w:tc>
        <w:tc>
          <w:tcPr>
            <w:tcW w:type="dxa" w:w="3118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免费源无盘口时不估算价差</w:t>
            </w:r>
          </w:p>
        </w:tc>
      </w:tr>
      <w:tr>
        <w:trPr>
          <w:cantSplit/>
        </w:trPr>
        <w:tc>
          <w:tcPr>
            <w:tcW w:type="dxa" w:w="15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加密衍生品</w:t>
            </w:r>
          </w:p>
        </w:tc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funding、OI、liquidation</w:t>
            </w:r>
          </w:p>
        </w:tc>
        <w:tc>
          <w:tcPr>
            <w:tcW w:type="dxa" w:w="29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交易所公开接口快照与变化率</w:t>
            </w:r>
          </w:p>
        </w:tc>
        <w:tc>
          <w:tcPr>
            <w:tcW w:type="dxa" w:w="311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仅代表该交易所和该合约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6.2 免费美股行情的关键限制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12"/>
      </w:tblGrid>
      <w:tr>
        <w:tc>
          <w:tcPr>
            <w:tcW w:type="dxa" w:w="198"/>
            <w:shd w:fill="A87313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9212"/>
            <w:shd w:fill="FFF7DD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40" w:line="283" w:lineRule="auto"/>
            </w:pPr>
            <w:r/>
            <w:r>
              <w:rPr>
                <w:rFonts w:ascii="Noto Sans CJK SC" w:hAnsi="Noto Sans CJK SC" w:eastAsia="Noto Sans CJK SC"/>
                <w:b/>
                <w:color w:val="A87313"/>
                <w:sz w:val="20"/>
              </w:rPr>
              <w:t>不得把 IEX 当作全市场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40515D"/>
                <w:sz w:val="19"/>
              </w:rPr>
              <w:t>Alpaca 免费美股数据通常基于 IEX，官方说明其成交量只占全市场的一小部分。因此可用于方向、收益和 IEX 自身的相对成交量观察，但不得输出“全市场成交量 4.2 倍”。字段必须显示 IEX_RVOL=4.2×。</w:t>
            </w:r>
          </w:p>
        </w:tc>
      </w:tr>
    </w:tbl>
    <w:p>
      <w:pPr>
        <w:spacing w:after="0"/>
      </w:pPr>
    </w:p>
    <w:p>
      <w:pPr>
        <w:keepNext w:val="0"/>
        <w:widowControl/>
        <w:spacing w:before="0" w:after="100" w:line="300" w:lineRule="auto"/>
      </w:pPr>
      <w:r>
        <w:rPr>
          <w:rFonts w:ascii="Noto Sans CJK SC" w:hAnsi="Noto Sans CJK SC" w:eastAsia="Noto Sans CJK SC"/>
          <w:color w:val="40515D"/>
        </w:rPr>
        <w:t>如未来用户已有 IBKR 等实时权限，可增加私有行情适配器，但它属于用户既有授权，不应写入“所有人零成本可复现”的核心方案。</w:t>
      </w:r>
    </w:p>
    <w:p>
      <w:pPr>
        <w:pStyle w:val="Heading2"/>
        <w:pageBreakBefore w:val="0"/>
      </w:pPr>
      <w:r>
        <w:t>6.3 阈值设计</w:t>
      </w:r>
    </w:p>
    <w:p>
      <w:pPr>
        <w:pStyle w:val="ListBullet"/>
        <w:keepNext w:val="0"/>
        <w:widowControl/>
        <w:spacing w:before="0" w:after="40" w:line="288" w:lineRule="auto"/>
      </w:pPr>
      <w:r>
        <w:rPr>
          <w:rFonts w:ascii="Noto Sans CJK SC" w:hAnsi="Noto Sans CJK SC" w:eastAsia="Noto Sans CJK SC"/>
          <w:color w:val="40515D"/>
          <w:sz w:val="19"/>
        </w:rPr>
        <w:t>不同资产使用各自历史分位数，不用固定“涨跌 3%”覆盖所有品种。</w:t>
      </w:r>
    </w:p>
    <w:p>
      <w:pPr>
        <w:pStyle w:val="ListBullet"/>
        <w:keepNext w:val="0"/>
        <w:widowControl/>
        <w:spacing w:before="0" w:after="40" w:line="288" w:lineRule="auto"/>
      </w:pPr>
      <w:r>
        <w:rPr>
          <w:rFonts w:ascii="Noto Sans CJK SC" w:hAnsi="Noto Sans CJK SC" w:eastAsia="Noto Sans CJK SC"/>
          <w:color w:val="40515D"/>
          <w:sz w:val="19"/>
        </w:rPr>
        <w:t>休市、盘前、盘后和 24/7 市场分别建基线；事件发生在休市时延迟到下一可交易窗口。</w:t>
      </w:r>
    </w:p>
    <w:p>
      <w:pPr>
        <w:pStyle w:val="ListBullet"/>
        <w:keepNext w:val="0"/>
        <w:widowControl/>
        <w:spacing w:before="0" w:after="40" w:line="288" w:lineRule="auto"/>
      </w:pPr>
      <w:r>
        <w:rPr>
          <w:rFonts w:ascii="Noto Sans CJK SC" w:hAnsi="Noto Sans CJK SC" w:eastAsia="Noto Sans CJK SC"/>
          <w:color w:val="40515D"/>
          <w:sz w:val="19"/>
        </w:rPr>
        <w:t>低流动性资产要求最小成交额/交易笔数，防止单笔成交触发 R3。</w:t>
      </w:r>
    </w:p>
    <w:p>
      <w:pPr>
        <w:pStyle w:val="ListBullet"/>
        <w:keepNext w:val="0"/>
        <w:widowControl/>
        <w:spacing w:before="0" w:after="40" w:line="288" w:lineRule="auto"/>
      </w:pPr>
      <w:r>
        <w:rPr>
          <w:rFonts w:ascii="Noto Sans CJK SC" w:hAnsi="Noto Sans CJK SC" w:eastAsia="Noto Sans CJK SC"/>
          <w:color w:val="40515D"/>
          <w:sz w:val="19"/>
        </w:rPr>
        <w:t>反应等级建议由价格、异常收益、RVOL、波动率四个维度中至少两个共同支持。</w:t>
      </w:r>
    </w:p>
    <w:p>
      <w:pPr>
        <w:pStyle w:val="ListBullet"/>
        <w:keepNext w:val="0"/>
        <w:widowControl/>
        <w:spacing w:before="0" w:after="40" w:line="288" w:lineRule="auto"/>
      </w:pPr>
      <w:r>
        <w:rPr>
          <w:rFonts w:ascii="Noto Sans CJK SC" w:hAnsi="Noto Sans CJK SC" w:eastAsia="Noto Sans CJK SC"/>
          <w:color w:val="40515D"/>
          <w:sz w:val="19"/>
        </w:rPr>
        <w:t>所有基线只使用 t0 之前数据，回测时严格禁止未来数据泄漏。</w:t>
      </w:r>
    </w:p>
    <w:p>
      <w:pPr>
        <w:pStyle w:val="Heading1"/>
        <w:pageBreakBefore w:val="0"/>
        <w:pBdr>
          <w:bottom w:val="single" w:sz="7" w:space="5" w:color="2A7F8E"/>
        </w:pBdr>
      </w:pPr>
      <w:r>
        <w:t>7. 系统与数据设计</w:t>
      </w:r>
    </w:p>
    <w:p>
      <w:pPr>
        <w:pStyle w:val="Heading2"/>
        <w:pageBreakBefore w:val="0"/>
      </w:pPr>
      <w:r>
        <w:t>7.1 逻辑架构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5"/>
        <w:gridCol w:w="4025"/>
        <w:gridCol w:w="4110"/>
      </w:tblGrid>
      <w:tr>
        <w:trPr>
          <w:tblHeader w:val="true"/>
          <w:cantSplit/>
        </w:trPr>
        <w:tc>
          <w:tcPr>
            <w:tcW w:type="dxa" w:w="1275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</w:t>
            </w:r>
          </w:p>
        </w:tc>
        <w:tc>
          <w:tcPr>
            <w:tcW w:type="dxa" w:w="4025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4110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责任</w:t>
            </w:r>
          </w:p>
        </w:tc>
      </w:tr>
      <w:tr>
        <w:trPr>
          <w:cantSplit/>
        </w:trPr>
        <w:tc>
          <w:tcPr>
            <w:tcW w:type="dxa" w:w="127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数据层</w:t>
            </w:r>
          </w:p>
        </w:tc>
        <w:tc>
          <w:tcPr>
            <w:tcW w:type="dxa" w:w="402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Source Registry；RSS/REST/WS/HTML Adapters；Raw Store</w:t>
            </w:r>
          </w:p>
        </w:tc>
        <w:tc>
          <w:tcPr>
            <w:tcW w:type="dxa" w:w="411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原始内容不可变保存；按来源限流、退避和健康检查</w:t>
            </w:r>
          </w:p>
        </w:tc>
      </w:tr>
      <w:tr>
        <w:trPr>
          <w:cantSplit/>
        </w:trPr>
        <w:tc>
          <w:tcPr>
            <w:tcW w:type="dxa" w:w="1275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事件层</w:t>
            </w:r>
          </w:p>
        </w:tc>
        <w:tc>
          <w:tcPr>
            <w:tcW w:type="dxa" w:w="4025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Normalizer；Deduplicator；Clusterer；Extractor；Scorer</w:t>
            </w:r>
          </w:p>
        </w:tc>
        <w:tc>
          <w:tcPr>
            <w:tcW w:type="dxa" w:w="411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规则 + 本地模型；每一步记录版本与证据</w:t>
            </w:r>
          </w:p>
        </w:tc>
      </w:tr>
      <w:tr>
        <w:trPr>
          <w:cantSplit/>
        </w:trPr>
        <w:tc>
          <w:tcPr>
            <w:tcW w:type="dxa" w:w="127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知识层</w:t>
            </w:r>
          </w:p>
        </w:tc>
        <w:tc>
          <w:tcPr>
            <w:tcW w:type="dxa" w:w="402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Entity Resolver；Symbol Master；Relation Store</w:t>
            </w:r>
          </w:p>
        </w:tc>
        <w:tc>
          <w:tcPr>
            <w:tcW w:type="dxa" w:w="411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CIK/代码/别名优先；模糊匹配必须有置信度</w:t>
            </w:r>
          </w:p>
        </w:tc>
      </w:tr>
      <w:tr>
        <w:trPr>
          <w:cantSplit/>
        </w:trPr>
        <w:tc>
          <w:tcPr>
            <w:tcW w:type="dxa" w:w="1275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行情层</w:t>
            </w:r>
          </w:p>
        </w:tc>
        <w:tc>
          <w:tcPr>
            <w:tcW w:type="dxa" w:w="4025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Market Adapters；Metric Engine；Snapshot Store</w:t>
            </w:r>
          </w:p>
        </w:tc>
        <w:tc>
          <w:tcPr>
            <w:tcW w:type="dxa" w:w="411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统一 UTC 时间；指标携带 venue 与 data_scope</w:t>
            </w:r>
          </w:p>
        </w:tc>
      </w:tr>
      <w:tr>
        <w:trPr>
          <w:cantSplit/>
        </w:trPr>
        <w:tc>
          <w:tcPr>
            <w:tcW w:type="dxa" w:w="127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服务层</w:t>
            </w:r>
          </w:p>
        </w:tc>
        <w:tc>
          <w:tcPr>
            <w:tcW w:type="dxa" w:w="402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Event API；Alert Manager；Replay Evaluator；Admin</w:t>
            </w:r>
          </w:p>
        </w:tc>
        <w:tc>
          <w:tcPr>
            <w:tcW w:type="dxa" w:w="411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Telegram、查询、重放、标注和运行状态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7.2 模型使用边界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426"/>
      </w:tblGrid>
      <w:tr>
        <w:trPr>
          <w:tblHeader w:val="true"/>
          <w:cantSplit/>
        </w:trPr>
        <w:tc>
          <w:tcPr>
            <w:tcW w:type="dxa" w:w="1984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边界</w:t>
            </w:r>
          </w:p>
        </w:tc>
        <w:tc>
          <w:tcPr>
            <w:tcW w:type="dxa" w:w="7426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本地模型适合</w:t>
            </w:r>
          </w:p>
        </w:tc>
        <w:tc>
          <w:tcPr>
            <w:tcW w:type="dxa" w:w="742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事件要素抽取、标题归一、类型分类、理由生成、跨语言摘要、候选资产提示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确定性代码负责</w:t>
            </w:r>
          </w:p>
        </w:tc>
        <w:tc>
          <w:tcPr>
            <w:tcW w:type="dxa" w:w="7426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时间、价格、百分比、来源等级、阈值、状态迁移、去重哈希、指标计算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必须校验</w:t>
            </w:r>
          </w:p>
        </w:tc>
        <w:tc>
          <w:tcPr>
            <w:tcW w:type="dxa" w:w="742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金额与单位、主体身份、否定词、调查/起诉/定罪的法律阶段、预测与事实的区别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降级模式</w:t>
            </w:r>
          </w:p>
        </w:tc>
        <w:tc>
          <w:tcPr>
            <w:tcW w:type="dxa" w:w="7426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本地模型不可用时使用规则和关键词继续采集；事件进入待处理队列，不调用付费 API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7.3 核心数据对象（示意）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keepNext w:val="0"/>
              <w:widowControl/>
              <w:spacing w:before="0" w:after="0" w:line="252" w:lineRule="auto"/>
            </w:pPr>
            <w:r/>
            <w:r>
              <w:rPr>
                <w:rFonts w:ascii="DejaVu Sans Mono" w:hAnsi="DejaVu Sans Mono" w:eastAsia="DejaVu Sans Mono"/>
                <w:color w:val="40515D"/>
                <w:sz w:val="15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/>
                <w:color w:val="40515D"/>
                <w:sz w:val="15"/>
              </w:rPr>
              <w:t xml:space="preserve">  "event_id": "evt_20260714_sec_xyz_001",</w:t>
            </w:r>
            <w:r>
              <w:br/>
            </w:r>
            <w:r>
              <w:rPr>
                <w:rFonts w:ascii="DejaVu Sans Mono" w:hAnsi="DejaVu Sans Mono" w:eastAsia="DejaVu Sans Mono"/>
                <w:color w:val="40515D"/>
                <w:sz w:val="15"/>
              </w:rPr>
              <w:t xml:space="preserve">  "title": "SEC 对 XYZ 启动会计调查",</w:t>
            </w:r>
            <w:r>
              <w:br/>
            </w:r>
            <w:r>
              <w:rPr>
                <w:rFonts w:ascii="DejaVu Sans Mono" w:hAnsi="DejaVu Sans Mono" w:eastAsia="DejaVu Sans Mono"/>
                <w:color w:val="40515D"/>
                <w:sz w:val="15"/>
              </w:rPr>
              <w:t xml:space="preserve">  "event_type": "regulatory_accounting_investigation",</w:t>
            </w:r>
            <w:r>
              <w:br/>
            </w:r>
            <w:r>
              <w:rPr>
                <w:rFonts w:ascii="DejaVu Sans Mono" w:hAnsi="DejaVu Sans Mono" w:eastAsia="DejaVu Sans Mono"/>
                <w:color w:val="40515D"/>
                <w:sz w:val="15"/>
              </w:rPr>
              <w:t xml:space="preserve">  "severity": "S", "credibility": "P0", "novelty": "N2",</w:t>
            </w:r>
            <w:r>
              <w:br/>
            </w:r>
            <w:r>
              <w:rPr>
                <w:rFonts w:ascii="DejaVu Sans Mono" w:hAnsi="DejaVu Sans Mono" w:eastAsia="DejaVu Sans Mono"/>
                <w:color w:val="40515D"/>
                <w:sz w:val="15"/>
              </w:rPr>
              <w:t xml:space="preserve">  "status": "CONFIRMED",</w:t>
            </w:r>
            <w:r>
              <w:br/>
            </w:r>
            <w:r>
              <w:rPr>
                <w:rFonts w:ascii="DejaVu Sans Mono" w:hAnsi="DejaVu Sans Mono" w:eastAsia="DejaVu Sans Mono"/>
                <w:color w:val="40515D"/>
                <w:sz w:val="15"/>
              </w:rPr>
              <w:t xml:space="preserve">  "source_time": "2026-07-14T18:31:00Z",</w:t>
            </w:r>
            <w:r>
              <w:br/>
            </w:r>
            <w:r>
              <w:rPr>
                <w:rFonts w:ascii="DejaVu Sans Mono" w:hAnsi="DejaVu Sans Mono" w:eastAsia="DejaVu Sans Mono"/>
                <w:color w:val="40515D"/>
                <w:sz w:val="15"/>
              </w:rPr>
              <w:t xml:space="preserve">  "first_seen_at": "2026-07-14T18:31:42Z",</w:t>
            </w:r>
            <w:r>
              <w:br/>
            </w:r>
            <w:r>
              <w:rPr>
                <w:rFonts w:ascii="DejaVu Sans Mono" w:hAnsi="DejaVu Sans Mono" w:eastAsia="DejaVu Sans Mono"/>
                <w:color w:val="40515D"/>
                <w:sz w:val="15"/>
              </w:rPr>
              <w:t xml:space="preserve">  "sources": [{"authority": "SEC", "url": "...", "sha256": "..."}],</w:t>
            </w:r>
            <w:r>
              <w:br/>
            </w:r>
            <w:r>
              <w:rPr>
                <w:rFonts w:ascii="DejaVu Sans Mono" w:hAnsi="DejaVu Sans Mono" w:eastAsia="DejaVu Sans Mono"/>
                <w:color w:val="40515D"/>
                <w:sz w:val="15"/>
              </w:rPr>
              <w:t xml:space="preserve">  "assets": [{"symbol": "XYZ", "relation": "PRIMARY", "confidence": 1.0}],</w:t>
            </w:r>
            <w:r>
              <w:br/>
            </w:r>
            <w:r>
              <w:rPr>
                <w:rFonts w:ascii="DejaVu Sans Mono" w:hAnsi="DejaVu Sans Mono" w:eastAsia="DejaVu Sans Mono"/>
                <w:color w:val="40515D"/>
                <w:sz w:val="15"/>
              </w:rPr>
              <w:t xml:space="preserve">  "reaction": {"venue": "IEX", "return_15m": -0.087, "iex_rvol": 4.2},</w:t>
            </w:r>
            <w:r>
              <w:br/>
            </w:r>
            <w:r>
              <w:rPr>
                <w:rFonts w:ascii="DejaVu Sans Mono" w:hAnsi="DejaVu Sans Mono" w:eastAsia="DejaVu Sans Mono"/>
                <w:color w:val="40515D"/>
                <w:sz w:val="15"/>
              </w:rPr>
              <w:t xml:space="preserve">  "action": ["WATCHLIST", "WAIT_TREND_CONFIRMATION", "NO_SUMMARY_ONLY_SHORT"],</w:t>
            </w:r>
            <w:r>
              <w:br/>
            </w:r>
            <w:r>
              <w:rPr>
                <w:rFonts w:ascii="DejaVu Sans Mono" w:hAnsi="DejaVu Sans Mono" w:eastAsia="DejaVu Sans Mono"/>
                <w:color w:val="40515D"/>
                <w:sz w:val="15"/>
              </w:rPr>
              <w:t xml:space="preserve">  "pipeline_version": "1.0.0"</w:t>
            </w:r>
            <w:r>
              <w:br/>
            </w:r>
            <w:r>
              <w:rPr>
                <w:rFonts w:ascii="DejaVu Sans Mono" w:hAnsi="DejaVu Sans Mono" w:eastAsia="DejaVu Sans Mono"/>
                <w:color w:val="40515D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7.4 零成本技术栈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741"/>
        <w:gridCol w:w="4195"/>
      </w:tblGrid>
      <w:tr>
        <w:trPr>
          <w:tblHeader w:val="true"/>
          <w:cantSplit/>
        </w:trPr>
        <w:tc>
          <w:tcPr>
            <w:tcW w:type="dxa" w:w="1474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741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</w:t>
            </w:r>
          </w:p>
        </w:tc>
        <w:tc>
          <w:tcPr>
            <w:tcW w:type="dxa" w:w="4195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语言 / API</w:t>
            </w:r>
          </w:p>
        </w:tc>
        <w:tc>
          <w:tcPr>
            <w:tcW w:type="dxa" w:w="37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Python 3.12、FastAPI、Pydantic、httpx / asyncio</w:t>
            </w:r>
          </w:p>
        </w:tc>
        <w:tc>
          <w:tcPr>
            <w:tcW w:type="dxa" w:w="419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开源；便于适配异步抓取与结构化校验</w:t>
            </w:r>
          </w:p>
        </w:tc>
      </w:tr>
      <w:tr>
        <w:trPr>
          <w:cantSplit/>
        </w:trPr>
        <w:tc>
          <w:tcPr>
            <w:tcW w:type="dxa" w:w="147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采集</w:t>
            </w:r>
          </w:p>
        </w:tc>
        <w:tc>
          <w:tcPr>
            <w:tcW w:type="dxa" w:w="3741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feedparser、WebSocket 客户端、APScheduler、aiolimiter</w:t>
            </w:r>
          </w:p>
        </w:tc>
        <w:tc>
          <w:tcPr>
            <w:tcW w:type="dxa" w:w="4195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按来源独立调度、配额和退避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存储</w:t>
            </w:r>
          </w:p>
        </w:tc>
        <w:tc>
          <w:tcPr>
            <w:tcW w:type="dxa" w:w="37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SQLite + WAL + FTS5；JSON 原始快照</w:t>
            </w:r>
          </w:p>
        </w:tc>
        <w:tc>
          <w:tcPr>
            <w:tcW w:type="dxa" w:w="419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单机足够；后期可迁移 PostgreSQL</w:t>
            </w:r>
          </w:p>
        </w:tc>
      </w:tr>
      <w:tr>
        <w:trPr>
          <w:cantSplit/>
        </w:trPr>
        <w:tc>
          <w:tcPr>
            <w:tcW w:type="dxa" w:w="147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文本</w:t>
            </w:r>
          </w:p>
        </w:tc>
        <w:tc>
          <w:tcPr>
            <w:tcW w:type="dxa" w:w="3741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RapidFuzz、可选 sentence-transformers</w:t>
            </w:r>
          </w:p>
        </w:tc>
        <w:tc>
          <w:tcPr>
            <w:tcW w:type="dxa" w:w="4195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去重与实体匹配；模型文件本地缓存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本地模型</w:t>
            </w:r>
          </w:p>
        </w:tc>
        <w:tc>
          <w:tcPr>
            <w:tcW w:type="dxa" w:w="37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Ollama 或 llama.cpp；可选 Qwen 系列小模型</w:t>
            </w:r>
          </w:p>
        </w:tc>
        <w:tc>
          <w:tcPr>
            <w:tcW w:type="dxa" w:w="419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零 API 调用费；硬件不足则规则模式降级</w:t>
            </w:r>
          </w:p>
        </w:tc>
      </w:tr>
      <w:tr>
        <w:trPr>
          <w:cantSplit/>
        </w:trPr>
        <w:tc>
          <w:tcPr>
            <w:tcW w:type="dxa" w:w="147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通知</w:t>
            </w:r>
          </w:p>
        </w:tc>
        <w:tc>
          <w:tcPr>
            <w:tcW w:type="dxa" w:w="3741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Telegram Bot API</w:t>
            </w:r>
          </w:p>
        </w:tc>
        <w:tc>
          <w:tcPr>
            <w:tcW w:type="dxa" w:w="4195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免费；消息中保留来源链接和更新时间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部署</w:t>
            </w:r>
          </w:p>
        </w:tc>
        <w:tc>
          <w:tcPr>
            <w:tcW w:type="dxa" w:w="37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Docker Compose 或 systemd</w:t>
            </w:r>
          </w:p>
        </w:tc>
        <w:tc>
          <w:tcPr>
            <w:tcW w:type="dxa" w:w="419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默认本机/既有设备，不依赖付费云</w:t>
            </w:r>
          </w:p>
        </w:tc>
      </w:tr>
      <w:tr>
        <w:trPr>
          <w:cantSplit/>
        </w:trPr>
        <w:tc>
          <w:tcPr>
            <w:tcW w:type="dxa" w:w="147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测试</w:t>
            </w:r>
          </w:p>
        </w:tc>
        <w:tc>
          <w:tcPr>
            <w:tcW w:type="dxa" w:w="3741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pytest、freezegun、respx、Golden Dataset</w:t>
            </w:r>
          </w:p>
        </w:tc>
        <w:tc>
          <w:tcPr>
            <w:tcW w:type="dxa" w:w="4195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可重复、可固定时间与接口响应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7.5 数据库建议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6916"/>
      </w:tblGrid>
      <w:tr>
        <w:trPr>
          <w:tblHeader w:val="true"/>
          <w:cantSplit/>
        </w:trPr>
        <w:tc>
          <w:tcPr>
            <w:tcW w:type="dxa" w:w="2494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</w:t>
            </w:r>
          </w:p>
        </w:tc>
        <w:tc>
          <w:tcPr>
            <w:tcW w:type="dxa" w:w="6916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sources</w:t>
            </w:r>
          </w:p>
        </w:tc>
        <w:tc>
          <w:tcPr>
            <w:tcW w:type="dxa" w:w="69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来源配置、等级、配额、条款、健康状态</w:t>
            </w:r>
          </w:p>
        </w:tc>
      </w:tr>
      <w:tr>
        <w:trPr>
          <w:cantSplit/>
        </w:trPr>
        <w:tc>
          <w:tcPr>
            <w:tcW w:type="dxa" w:w="249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raw_items</w:t>
            </w:r>
          </w:p>
        </w:tc>
        <w:tc>
          <w:tcPr>
            <w:tcW w:type="dxa" w:w="6916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原始标题、摘要、链接、发布时间、抓取时间、内容哈希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event_clusters</w:t>
            </w:r>
          </w:p>
        </w:tc>
        <w:tc>
          <w:tcPr>
            <w:tcW w:type="dxa" w:w="69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规范化事件、状态、S/A/B/C、P0–P3、N/R 标签</w:t>
            </w:r>
          </w:p>
        </w:tc>
      </w:tr>
      <w:tr>
        <w:trPr>
          <w:cantSplit/>
        </w:trPr>
        <w:tc>
          <w:tcPr>
            <w:tcW w:type="dxa" w:w="249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event_sources</w:t>
            </w:r>
          </w:p>
        </w:tc>
        <w:tc>
          <w:tcPr>
            <w:tcW w:type="dxa" w:w="6916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事件与原文的多对多关系、首次/更新标记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entities / assets</w:t>
            </w:r>
          </w:p>
        </w:tc>
        <w:tc>
          <w:tcPr>
            <w:tcW w:type="dxa" w:w="69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主体、证券代码、别名、交易所、资产类别</w:t>
            </w:r>
          </w:p>
        </w:tc>
      </w:tr>
      <w:tr>
        <w:trPr>
          <w:cantSplit/>
        </w:trPr>
        <w:tc>
          <w:tcPr>
            <w:tcW w:type="dxa" w:w="249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relations</w:t>
            </w:r>
          </w:p>
        </w:tc>
        <w:tc>
          <w:tcPr>
            <w:tcW w:type="dxa" w:w="6916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资产关系、证据链接、置信度、有效期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market_snapshots</w:t>
            </w:r>
          </w:p>
        </w:tc>
        <w:tc>
          <w:tcPr>
            <w:tcW w:type="dxa" w:w="69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venue、data_scope、时间窗、价格和成交量快照</w:t>
            </w:r>
          </w:p>
        </w:tc>
      </w:tr>
      <w:tr>
        <w:trPr>
          <w:cantSplit/>
        </w:trPr>
        <w:tc>
          <w:tcPr>
            <w:tcW w:type="dxa" w:w="249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model_runs</w:t>
            </w:r>
          </w:p>
        </w:tc>
        <w:tc>
          <w:tcPr>
            <w:tcW w:type="dxa" w:w="6916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提示词/模型/规则版本、输入哈希、结构化输出与校验结果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alerts</w:t>
            </w:r>
          </w:p>
        </w:tc>
        <w:tc>
          <w:tcPr>
            <w:tcW w:type="dxa" w:w="69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通知版本、渠道、发送状态、消息 ID、撤回/更正记录</w:t>
            </w:r>
          </w:p>
        </w:tc>
      </w:tr>
      <w:tr>
        <w:trPr>
          <w:cantSplit/>
        </w:trPr>
        <w:tc>
          <w:tcPr>
            <w:tcW w:type="dxa" w:w="249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labels</w:t>
            </w:r>
          </w:p>
        </w:tc>
        <w:tc>
          <w:tcPr>
            <w:tcW w:type="dxa" w:w="6916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hard / weak / rejected、人工原因、复核人、时间</w:t>
            </w:r>
          </w:p>
        </w:tc>
      </w:tr>
    </w:tbl>
    <w:p>
      <w:pPr>
        <w:spacing w:after="0"/>
      </w:pPr>
    </w:p>
    <w:p>
      <w:pPr>
        <w:pStyle w:val="Heading1"/>
        <w:pageBreakBefore w:val="0"/>
        <w:pBdr>
          <w:bottom w:val="single" w:sz="7" w:space="5" w:color="2A7F8E"/>
        </w:pBdr>
      </w:pPr>
      <w:r>
        <w:t>8. 功能需求、计划与验收</w:t>
      </w:r>
    </w:p>
    <w:p>
      <w:pPr>
        <w:pStyle w:val="Heading2"/>
        <w:pageBreakBefore w:val="0"/>
      </w:pPr>
      <w:r>
        <w:t>8.1 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"/>
        <w:gridCol w:w="1814"/>
        <w:gridCol w:w="6633"/>
      </w:tblGrid>
      <w:tr>
        <w:trPr>
          <w:tblHeader w:val="true"/>
          <w:cantSplit/>
        </w:trPr>
        <w:tc>
          <w:tcPr>
            <w:tcW w:type="dxa" w:w="963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814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6633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验收描述</w:t>
            </w:r>
          </w:p>
        </w:tc>
      </w:tr>
      <w:tr>
        <w:trPr>
          <w:cantSplit/>
        </w:trPr>
        <w:tc>
          <w:tcPr>
            <w:tcW w:type="dxa" w:w="96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FR-01</w:t>
            </w:r>
          </w:p>
        </w:tc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来源管理</w:t>
            </w:r>
          </w:p>
        </w:tc>
        <w:tc>
          <w:tcPr>
            <w:tcW w:type="dxa" w:w="663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按配置启停、配额、优先级、健康检查和 experimental 标志</w:t>
            </w:r>
          </w:p>
        </w:tc>
      </w:tr>
      <w:tr>
        <w:trPr>
          <w:cantSplit/>
        </w:trPr>
        <w:tc>
          <w:tcPr>
            <w:tcW w:type="dxa" w:w="963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FR-02</w:t>
            </w:r>
          </w:p>
        </w:tc>
        <w:tc>
          <w:tcPr>
            <w:tcW w:type="dxa" w:w="181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多协议采集</w:t>
            </w:r>
          </w:p>
        </w:tc>
        <w:tc>
          <w:tcPr>
            <w:tcW w:type="dxa" w:w="6633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支持 RSS、REST、WebSocket；HTML 适配器必须单独开关</w:t>
            </w:r>
          </w:p>
        </w:tc>
      </w:tr>
      <w:tr>
        <w:trPr>
          <w:cantSplit/>
        </w:trPr>
        <w:tc>
          <w:tcPr>
            <w:tcW w:type="dxa" w:w="96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FR-03</w:t>
            </w:r>
          </w:p>
        </w:tc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原始留存</w:t>
            </w:r>
          </w:p>
        </w:tc>
        <w:tc>
          <w:tcPr>
            <w:tcW w:type="dxa" w:w="663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保存元数据、短摘要、哈希、响应时间与原始链接</w:t>
            </w:r>
          </w:p>
        </w:tc>
      </w:tr>
      <w:tr>
        <w:trPr>
          <w:cantSplit/>
        </w:trPr>
        <w:tc>
          <w:tcPr>
            <w:tcW w:type="dxa" w:w="963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FR-04</w:t>
            </w:r>
          </w:p>
        </w:tc>
        <w:tc>
          <w:tcPr>
            <w:tcW w:type="dxa" w:w="181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去重聚类</w:t>
            </w:r>
          </w:p>
        </w:tc>
        <w:tc>
          <w:tcPr>
            <w:tcW w:type="dxa" w:w="6633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URL、内容哈希、实体 + 时间 + 语义多级去重</w:t>
            </w:r>
          </w:p>
        </w:tc>
      </w:tr>
      <w:tr>
        <w:trPr>
          <w:cantSplit/>
        </w:trPr>
        <w:tc>
          <w:tcPr>
            <w:tcW w:type="dxa" w:w="96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FR-05</w:t>
            </w:r>
          </w:p>
        </w:tc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结构化抽取</w:t>
            </w:r>
          </w:p>
        </w:tc>
        <w:tc>
          <w:tcPr>
            <w:tcW w:type="dxa" w:w="663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输出主体、动作、对象、金额、时间、法律阶段和引用证据</w:t>
            </w:r>
          </w:p>
        </w:tc>
      </w:tr>
      <w:tr>
        <w:trPr>
          <w:cantSplit/>
        </w:trPr>
        <w:tc>
          <w:tcPr>
            <w:tcW w:type="dxa" w:w="963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FR-06</w:t>
            </w:r>
          </w:p>
        </w:tc>
        <w:tc>
          <w:tcPr>
            <w:tcW w:type="dxa" w:w="181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多维分级</w:t>
            </w:r>
          </w:p>
        </w:tc>
        <w:tc>
          <w:tcPr>
            <w:tcW w:type="dxa" w:w="6633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严重度、可信度、新颖度、方向、市场反应分别保存</w:t>
            </w:r>
          </w:p>
        </w:tc>
      </w:tr>
      <w:tr>
        <w:trPr>
          <w:cantSplit/>
        </w:trPr>
        <w:tc>
          <w:tcPr>
            <w:tcW w:type="dxa" w:w="96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FR-07</w:t>
            </w:r>
          </w:p>
        </w:tc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确认规则</w:t>
            </w:r>
          </w:p>
        </w:tc>
        <w:tc>
          <w:tcPr>
            <w:tcW w:type="dxa" w:w="663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S/A 必须通过来源等级和冲突检查；支持撤销与更正</w:t>
            </w:r>
          </w:p>
        </w:tc>
      </w:tr>
      <w:tr>
        <w:trPr>
          <w:cantSplit/>
        </w:trPr>
        <w:tc>
          <w:tcPr>
            <w:tcW w:type="dxa" w:w="963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FR-08</w:t>
            </w:r>
          </w:p>
        </w:tc>
        <w:tc>
          <w:tcPr>
            <w:tcW w:type="dxa" w:w="181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资产解析</w:t>
            </w:r>
          </w:p>
        </w:tc>
        <w:tc>
          <w:tcPr>
            <w:tcW w:type="dxa" w:w="6633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代码主表、别名、关系类型、置信度和证据</w:t>
            </w:r>
          </w:p>
        </w:tc>
      </w:tr>
      <w:tr>
        <w:trPr>
          <w:cantSplit/>
        </w:trPr>
        <w:tc>
          <w:tcPr>
            <w:tcW w:type="dxa" w:w="96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FR-09</w:t>
            </w:r>
          </w:p>
        </w:tc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行情增强</w:t>
            </w:r>
          </w:p>
        </w:tc>
        <w:tc>
          <w:tcPr>
            <w:tcW w:type="dxa" w:w="663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按 t0 计算多窗口收益、异常收益、波动率与来源限定 RVOL</w:t>
            </w:r>
          </w:p>
        </w:tc>
      </w:tr>
      <w:tr>
        <w:trPr>
          <w:cantSplit/>
        </w:trPr>
        <w:tc>
          <w:tcPr>
            <w:tcW w:type="dxa" w:w="963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FR-10</w:t>
            </w:r>
          </w:p>
        </w:tc>
        <w:tc>
          <w:tcPr>
            <w:tcW w:type="dxa" w:w="181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告警编排</w:t>
            </w:r>
          </w:p>
        </w:tc>
        <w:tc>
          <w:tcPr>
            <w:tcW w:type="dxa" w:w="6633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发现/确认/市场反应分阶段更新，同事件去重</w:t>
            </w:r>
          </w:p>
        </w:tc>
      </w:tr>
      <w:tr>
        <w:trPr>
          <w:cantSplit/>
        </w:trPr>
        <w:tc>
          <w:tcPr>
            <w:tcW w:type="dxa" w:w="96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FR-11</w:t>
            </w:r>
          </w:p>
        </w:tc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回放评估</w:t>
            </w:r>
          </w:p>
        </w:tc>
        <w:tc>
          <w:tcPr>
            <w:tcW w:type="dxa" w:w="663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固定历史输入、模拟当时时钟，禁止未来信息进入</w:t>
            </w:r>
          </w:p>
        </w:tc>
      </w:tr>
      <w:tr>
        <w:trPr>
          <w:cantSplit/>
        </w:trPr>
        <w:tc>
          <w:tcPr>
            <w:tcW w:type="dxa" w:w="963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FR-12</w:t>
            </w:r>
          </w:p>
        </w:tc>
        <w:tc>
          <w:tcPr>
            <w:tcW w:type="dxa" w:w="181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运行观测</w:t>
            </w:r>
          </w:p>
        </w:tc>
        <w:tc>
          <w:tcPr>
            <w:tcW w:type="dxa" w:w="6633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采集延迟、失败率、配额、队列长度、模型耗时与通知状态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8.2 非功能需求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7710"/>
      </w:tblGrid>
      <w:tr>
        <w:trPr>
          <w:tblHeader w:val="true"/>
          <w:cantSplit/>
        </w:trPr>
        <w:tc>
          <w:tcPr>
            <w:tcW w:type="dxa" w:w="1700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710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可追溯</w:t>
            </w:r>
          </w:p>
        </w:tc>
        <w:tc>
          <w:tcPr>
            <w:tcW w:type="dxa" w:w="771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100% 主动告警包含原文链接、来源等级、source_time、first_seen_at、指标口径</w:t>
            </w:r>
          </w:p>
        </w:tc>
      </w:tr>
      <w:tr>
        <w:trPr>
          <w:cantSplit/>
        </w:trPr>
        <w:tc>
          <w:tcPr>
            <w:tcW w:type="dxa" w:w="170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可恢复</w:t>
            </w:r>
          </w:p>
        </w:tc>
        <w:tc>
          <w:tcPr>
            <w:tcW w:type="dxa" w:w="771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进程重启后不重复推送；WebSocket 断线自动重连；RSS 以 ETag/Last-Modified 增量抓取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可替换</w:t>
            </w:r>
          </w:p>
        </w:tc>
        <w:tc>
          <w:tcPr>
            <w:tcW w:type="dxa" w:w="771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任一聚合源可关闭而不影响 P0 官方源；行情适配器通过统一接口替换</w:t>
            </w:r>
          </w:p>
        </w:tc>
      </w:tr>
      <w:tr>
        <w:trPr>
          <w:cantSplit/>
        </w:trPr>
        <w:tc>
          <w:tcPr>
            <w:tcW w:type="dxa" w:w="170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可解释</w:t>
            </w:r>
          </w:p>
        </w:tc>
        <w:tc>
          <w:tcPr>
            <w:tcW w:type="dxa" w:w="771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等级输出包含触发规则、模型理由和证据句；冲突进入人工队列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隐私安全</w:t>
            </w:r>
          </w:p>
        </w:tc>
        <w:tc>
          <w:tcPr>
            <w:tcW w:type="dxa" w:w="771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API token 不入库、不入日志；使用 .env/系统密钥；最小权限</w:t>
            </w:r>
          </w:p>
        </w:tc>
      </w:tr>
      <w:tr>
        <w:trPr>
          <w:cantSplit/>
        </w:trPr>
        <w:tc>
          <w:tcPr>
            <w:tcW w:type="dxa" w:w="170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版权合规</w:t>
            </w:r>
          </w:p>
        </w:tc>
        <w:tc>
          <w:tcPr>
            <w:tcW w:type="dxa" w:w="771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默认不存、不转发全文；只保留研究所需元数据、短摘要、哈希与链接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8.3 开发计划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"/>
        <w:gridCol w:w="1133"/>
        <w:gridCol w:w="1757"/>
        <w:gridCol w:w="2948"/>
        <w:gridCol w:w="2692"/>
      </w:tblGrid>
      <w:tr>
        <w:trPr>
          <w:tblHeader w:val="true"/>
          <w:cantSplit/>
        </w:trPr>
        <w:tc>
          <w:tcPr>
            <w:tcW w:type="dxa" w:w="878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里程碑</w:t>
            </w:r>
          </w:p>
        </w:tc>
        <w:tc>
          <w:tcPr>
            <w:tcW w:type="dxa" w:w="1133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时间</w:t>
            </w:r>
          </w:p>
        </w:tc>
        <w:tc>
          <w:tcPr>
            <w:tcW w:type="dxa" w:w="1757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主题</w:t>
            </w:r>
          </w:p>
        </w:tc>
        <w:tc>
          <w:tcPr>
            <w:tcW w:type="dxa" w:w="2948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</w:t>
            </w:r>
          </w:p>
        </w:tc>
        <w:tc>
          <w:tcPr>
            <w:tcW w:type="dxa" w:w="2692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退出条件</w:t>
            </w:r>
          </w:p>
        </w:tc>
      </w:tr>
      <w:tr>
        <w:trPr>
          <w:cantSplit/>
        </w:trPr>
        <w:tc>
          <w:tcPr>
            <w:tcW w:type="dxa" w:w="87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5"/>
              </w:rPr>
              <w:t>Gate 0</w:t>
            </w:r>
          </w:p>
        </w:tc>
        <w:tc>
          <w:tcPr>
            <w:tcW w:type="dxa" w:w="113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5"/>
              </w:rPr>
              <w:t>第 1–2 天</w:t>
            </w:r>
          </w:p>
        </w:tc>
        <w:tc>
          <w:tcPr>
            <w:tcW w:type="dxa" w:w="175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5"/>
              </w:rPr>
              <w:t>数据源烘烤测试</w:t>
            </w:r>
          </w:p>
        </w:tc>
        <w:tc>
          <w:tcPr>
            <w:tcW w:type="dxa" w:w="29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5"/>
              </w:rPr>
              <w:t>接入 5–8 个 P0 源、GDELT、Marketaux、Binance；连续运行 48 小时</w:t>
            </w:r>
          </w:p>
        </w:tc>
        <w:tc>
          <w:tcPr>
            <w:tcW w:type="dxa" w:w="26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5"/>
              </w:rPr>
              <w:t>形成延迟/失败/重复/配额报告；不合格源降为 experimental</w:t>
            </w:r>
          </w:p>
        </w:tc>
      </w:tr>
      <w:tr>
        <w:trPr>
          <w:cantSplit/>
        </w:trPr>
        <w:tc>
          <w:tcPr>
            <w:tcW w:type="dxa" w:w="878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5"/>
              </w:rPr>
              <w:t>M1</w:t>
            </w:r>
          </w:p>
        </w:tc>
        <w:tc>
          <w:tcPr>
            <w:tcW w:type="dxa" w:w="1133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5"/>
              </w:rPr>
              <w:t>第 3–7 天</w:t>
            </w:r>
          </w:p>
        </w:tc>
        <w:tc>
          <w:tcPr>
            <w:tcW w:type="dxa" w:w="1757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5"/>
              </w:rPr>
              <w:t>采集与存储骨架</w:t>
            </w:r>
          </w:p>
        </w:tc>
        <w:tc>
          <w:tcPr>
            <w:tcW w:type="dxa" w:w="2948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5"/>
              </w:rPr>
              <w:t>Source Registry、Raw Store、统一时区、增量抓取、健康检查</w:t>
            </w:r>
          </w:p>
        </w:tc>
        <w:tc>
          <w:tcPr>
            <w:tcW w:type="dxa" w:w="2692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5"/>
              </w:rPr>
              <w:t>可稳定重启；原始条目可查</w:t>
            </w:r>
          </w:p>
        </w:tc>
      </w:tr>
      <w:tr>
        <w:trPr>
          <w:cantSplit/>
        </w:trPr>
        <w:tc>
          <w:tcPr>
            <w:tcW w:type="dxa" w:w="87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5"/>
              </w:rPr>
              <w:t>M2</w:t>
            </w:r>
          </w:p>
        </w:tc>
        <w:tc>
          <w:tcPr>
            <w:tcW w:type="dxa" w:w="113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5"/>
              </w:rPr>
              <w:t>第 8–14 天</w:t>
            </w:r>
          </w:p>
        </w:tc>
        <w:tc>
          <w:tcPr>
            <w:tcW w:type="dxa" w:w="175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5"/>
              </w:rPr>
              <w:t>事件引擎</w:t>
            </w:r>
          </w:p>
        </w:tc>
        <w:tc>
          <w:tcPr>
            <w:tcW w:type="dxa" w:w="29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5"/>
              </w:rPr>
              <w:t>去重聚类、事件字典、P0–P3、S/A/B/C、本地模型与校验</w:t>
            </w:r>
          </w:p>
        </w:tc>
        <w:tc>
          <w:tcPr>
            <w:tcW w:type="dxa" w:w="26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5"/>
              </w:rPr>
              <w:t>对标注集完成首轮评估</w:t>
            </w:r>
          </w:p>
        </w:tc>
      </w:tr>
      <w:tr>
        <w:trPr>
          <w:cantSplit/>
        </w:trPr>
        <w:tc>
          <w:tcPr>
            <w:tcW w:type="dxa" w:w="878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5"/>
              </w:rPr>
              <w:t>M3</w:t>
            </w:r>
          </w:p>
        </w:tc>
        <w:tc>
          <w:tcPr>
            <w:tcW w:type="dxa" w:w="1133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5"/>
              </w:rPr>
              <w:t>第 15–20 天</w:t>
            </w:r>
          </w:p>
        </w:tc>
        <w:tc>
          <w:tcPr>
            <w:tcW w:type="dxa" w:w="1757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5"/>
              </w:rPr>
              <w:t>资产与行情增强</w:t>
            </w:r>
          </w:p>
        </w:tc>
        <w:tc>
          <w:tcPr>
            <w:tcW w:type="dxa" w:w="2948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5"/>
              </w:rPr>
              <w:t>symbol master、基准、Binance 指标、IEX 口径指标</w:t>
            </w:r>
          </w:p>
        </w:tc>
        <w:tc>
          <w:tcPr>
            <w:tcW w:type="dxa" w:w="2692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5"/>
              </w:rPr>
              <w:t>测试夹具计算 100% 一致</w:t>
            </w:r>
          </w:p>
        </w:tc>
      </w:tr>
      <w:tr>
        <w:trPr>
          <w:cantSplit/>
        </w:trPr>
        <w:tc>
          <w:tcPr>
            <w:tcW w:type="dxa" w:w="87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5"/>
              </w:rPr>
              <w:t>M4</w:t>
            </w:r>
          </w:p>
        </w:tc>
        <w:tc>
          <w:tcPr>
            <w:tcW w:type="dxa" w:w="113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5"/>
              </w:rPr>
              <w:t>第 21–24 天</w:t>
            </w:r>
          </w:p>
        </w:tc>
        <w:tc>
          <w:tcPr>
            <w:tcW w:type="dxa" w:w="175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5"/>
              </w:rPr>
              <w:t>Telegram 与回放</w:t>
            </w:r>
          </w:p>
        </w:tc>
        <w:tc>
          <w:tcPr>
            <w:tcW w:type="dxa" w:w="29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5"/>
              </w:rPr>
              <w:t>事件线程、更新/更正、每日摘要、replay evaluator</w:t>
            </w:r>
          </w:p>
        </w:tc>
        <w:tc>
          <w:tcPr>
            <w:tcW w:type="dxa" w:w="26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5"/>
              </w:rPr>
              <w:t>端到端演示与审计链完整</w:t>
            </w:r>
          </w:p>
        </w:tc>
      </w:tr>
      <w:tr>
        <w:trPr>
          <w:cantSplit/>
        </w:trPr>
        <w:tc>
          <w:tcPr>
            <w:tcW w:type="dxa" w:w="878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5"/>
              </w:rPr>
              <w:t>Gate 1</w:t>
            </w:r>
          </w:p>
        </w:tc>
        <w:tc>
          <w:tcPr>
            <w:tcW w:type="dxa" w:w="1133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5"/>
              </w:rPr>
              <w:t>第 25–38 天</w:t>
            </w:r>
          </w:p>
        </w:tc>
        <w:tc>
          <w:tcPr>
            <w:tcW w:type="dxa" w:w="1757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5"/>
              </w:rPr>
              <w:t>影子运行</w:t>
            </w:r>
          </w:p>
        </w:tc>
        <w:tc>
          <w:tcPr>
            <w:tcW w:type="dxa" w:w="2948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5"/>
              </w:rPr>
              <w:t>不交易；记录误报、漏报、延迟、资产映射和告警疲劳</w:t>
            </w:r>
          </w:p>
        </w:tc>
        <w:tc>
          <w:tcPr>
            <w:tcW w:type="dxa" w:w="2692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5"/>
              </w:rPr>
              <w:t>达到上线阈值或继续迭代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8.4 验收指标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7"/>
        <w:gridCol w:w="1700"/>
        <w:gridCol w:w="5442"/>
      </w:tblGrid>
      <w:tr>
        <w:trPr>
          <w:tblHeader w:val="true"/>
          <w:cantSplit/>
        </w:trPr>
        <w:tc>
          <w:tcPr>
            <w:tcW w:type="dxa" w:w="2267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700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5442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测量方式</w:t>
            </w:r>
          </w:p>
        </w:tc>
      </w:tr>
      <w:tr>
        <w:trPr>
          <w:cantSplit/>
        </w:trPr>
        <w:tc>
          <w:tcPr>
            <w:tcW w:type="dxa" w:w="226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P0 捕获延迟</w:t>
            </w:r>
          </w:p>
        </w:tc>
        <w:tc>
          <w:tcPr>
            <w:tcW w:type="dxa" w:w="17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95 分位 ≤ 120 秒</w:t>
            </w:r>
          </w:p>
        </w:tc>
        <w:tc>
          <w:tcPr>
            <w:tcW w:type="dxa" w:w="544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从来源可获取到 first_seen_at；受来源自身发布延迟影响</w:t>
            </w:r>
          </w:p>
        </w:tc>
      </w:tr>
      <w:tr>
        <w:trPr>
          <w:cantSplit/>
        </w:trPr>
        <w:tc>
          <w:tcPr>
            <w:tcW w:type="dxa" w:w="2267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硬事件召回</w:t>
            </w:r>
          </w:p>
        </w:tc>
        <w:tc>
          <w:tcPr>
            <w:tcW w:type="dxa" w:w="170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≥ 85%</w:t>
            </w:r>
          </w:p>
        </w:tc>
        <w:tc>
          <w:tcPr>
            <w:tcW w:type="dxa" w:w="5442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预先冻结的 hard / weak / rejected 数据集</w:t>
            </w:r>
          </w:p>
        </w:tc>
      </w:tr>
      <w:tr>
        <w:trPr>
          <w:cantSplit/>
        </w:trPr>
        <w:tc>
          <w:tcPr>
            <w:tcW w:type="dxa" w:w="226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S/A 精确率</w:t>
            </w:r>
          </w:p>
        </w:tc>
        <w:tc>
          <w:tcPr>
            <w:tcW w:type="dxa" w:w="17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≥ 90%</w:t>
            </w:r>
          </w:p>
        </w:tc>
        <w:tc>
          <w:tcPr>
            <w:tcW w:type="dxa" w:w="544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人工复核；避免告警疲劳</w:t>
            </w:r>
          </w:p>
        </w:tc>
      </w:tr>
      <w:tr>
        <w:trPr>
          <w:cantSplit/>
        </w:trPr>
        <w:tc>
          <w:tcPr>
            <w:tcW w:type="dxa" w:w="2267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错误 S 告警率</w:t>
            </w:r>
          </w:p>
        </w:tc>
        <w:tc>
          <w:tcPr>
            <w:tcW w:type="dxa" w:w="170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≤ 2%</w:t>
            </w:r>
          </w:p>
        </w:tc>
        <w:tc>
          <w:tcPr>
            <w:tcW w:type="dxa" w:w="5442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S 候选与已确认分别统计</w:t>
            </w:r>
          </w:p>
        </w:tc>
      </w:tr>
      <w:tr>
        <w:trPr>
          <w:cantSplit/>
        </w:trPr>
        <w:tc>
          <w:tcPr>
            <w:tcW w:type="dxa" w:w="226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重复压缩率</w:t>
            </w:r>
          </w:p>
        </w:tc>
        <w:tc>
          <w:tcPr>
            <w:tcW w:type="dxa" w:w="17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≥ 85%</w:t>
            </w:r>
          </w:p>
        </w:tc>
        <w:tc>
          <w:tcPr>
            <w:tcW w:type="dxa" w:w="544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同一事件的重复报道合并比例</w:t>
            </w:r>
          </w:p>
        </w:tc>
      </w:tr>
      <w:tr>
        <w:trPr>
          <w:cantSplit/>
        </w:trPr>
        <w:tc>
          <w:tcPr>
            <w:tcW w:type="dxa" w:w="2267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主资产映射准确率</w:t>
            </w:r>
          </w:p>
        </w:tc>
        <w:tc>
          <w:tcPr>
            <w:tcW w:type="dxa" w:w="170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≥ 95%</w:t>
            </w:r>
          </w:p>
        </w:tc>
        <w:tc>
          <w:tcPr>
            <w:tcW w:type="dxa" w:w="5442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PRIMARY 关系；供应链另行统计</w:t>
            </w:r>
          </w:p>
        </w:tc>
      </w:tr>
      <w:tr>
        <w:trPr>
          <w:cantSplit/>
        </w:trPr>
        <w:tc>
          <w:tcPr>
            <w:tcW w:type="dxa" w:w="226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确定性指标正确率</w:t>
            </w:r>
          </w:p>
        </w:tc>
        <w:tc>
          <w:tcPr>
            <w:tcW w:type="dxa" w:w="17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100%</w:t>
            </w:r>
          </w:p>
        </w:tc>
        <w:tc>
          <w:tcPr>
            <w:tcW w:type="dxa" w:w="544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固定行情夹具与手工基准对比</w:t>
            </w:r>
          </w:p>
        </w:tc>
      </w:tr>
      <w:tr>
        <w:trPr>
          <w:cantSplit/>
        </w:trPr>
        <w:tc>
          <w:tcPr>
            <w:tcW w:type="dxa" w:w="2267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告警可追溯率</w:t>
            </w:r>
          </w:p>
        </w:tc>
        <w:tc>
          <w:tcPr>
            <w:tcW w:type="dxa" w:w="170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100%</w:t>
            </w:r>
          </w:p>
        </w:tc>
        <w:tc>
          <w:tcPr>
            <w:tcW w:type="dxa" w:w="5442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原文、时间、来源、口径、版本齐全</w:t>
            </w:r>
          </w:p>
        </w:tc>
      </w:tr>
      <w:tr>
        <w:trPr>
          <w:cantSplit/>
        </w:trPr>
        <w:tc>
          <w:tcPr>
            <w:tcW w:type="dxa" w:w="226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影子运行可用率</w:t>
            </w:r>
          </w:p>
        </w:tc>
        <w:tc>
          <w:tcPr>
            <w:tcW w:type="dxa" w:w="17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≥ 99%</w:t>
            </w:r>
          </w:p>
        </w:tc>
        <w:tc>
          <w:tcPr>
            <w:tcW w:type="dxa" w:w="544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排除来源方中断；按 Agent 进程计算</w:t>
            </w:r>
          </w:p>
        </w:tc>
      </w:tr>
    </w:tbl>
    <w:p>
      <w:pPr>
        <w:spacing w:after="0"/>
      </w:pPr>
    </w:p>
    <w:p>
      <w:pPr>
        <w:keepNext w:val="0"/>
        <w:widowControl/>
        <w:spacing w:before="0" w:after="100" w:line="300" w:lineRule="auto"/>
      </w:pPr>
      <w:r>
        <w:rPr>
          <w:rFonts w:ascii="Noto Sans CJK SC" w:hAnsi="Noto Sans CJK SC" w:eastAsia="Noto Sans CJK SC"/>
          <w:color w:val="40515D"/>
        </w:rPr>
        <w:t>以上为 MVP 目标值，而非先验保证。Gate 0 和首轮标注集结果可用于调整阈值，但任何调整都必须在最终测试集评估前冻结。</w:t>
      </w:r>
    </w:p>
    <w:p>
      <w:pPr>
        <w:pStyle w:val="Heading1"/>
        <w:pageBreakBefore w:val="0"/>
        <w:pBdr>
          <w:bottom w:val="single" w:sz="7" w:space="5" w:color="2A7F8E"/>
        </w:pBdr>
      </w:pPr>
      <w:r>
        <w:t>9. 风险、合规与运营</w:t>
      </w:r>
    </w:p>
    <w:p>
      <w:pPr>
        <w:pStyle w:val="Heading2"/>
        <w:pageBreakBefore w:val="0"/>
      </w:pPr>
      <w:r>
        <w:t>9.1 风险登记表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7"/>
        <w:gridCol w:w="850"/>
        <w:gridCol w:w="850"/>
        <w:gridCol w:w="5442"/>
      </w:tblGrid>
      <w:tr>
        <w:trPr>
          <w:tblHeader w:val="true"/>
          <w:cantSplit/>
        </w:trPr>
        <w:tc>
          <w:tcPr>
            <w:tcW w:type="dxa" w:w="2267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850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概率</w:t>
            </w:r>
          </w:p>
        </w:tc>
        <w:tc>
          <w:tcPr>
            <w:tcW w:type="dxa" w:w="850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5442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应对</w:t>
            </w:r>
          </w:p>
        </w:tc>
      </w:tr>
      <w:tr>
        <w:trPr>
          <w:cantSplit/>
        </w:trPr>
        <w:tc>
          <w:tcPr>
            <w:tcW w:type="dxa" w:w="226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免费 API 改价/限额</w:t>
            </w:r>
          </w:p>
        </w:tc>
        <w:tc>
          <w:tcPr>
            <w:tcW w:type="dxa" w:w="8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高</w:t>
            </w:r>
          </w:p>
        </w:tc>
        <w:tc>
          <w:tcPr>
            <w:tcW w:type="dxa" w:w="8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中</w:t>
            </w:r>
          </w:p>
        </w:tc>
        <w:tc>
          <w:tcPr>
            <w:tcW w:type="dxa" w:w="544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核心依赖只用可替换源；每日配额监控；本地缓存；适配器开关</w:t>
            </w:r>
          </w:p>
        </w:tc>
      </w:tr>
      <w:tr>
        <w:trPr>
          <w:cantSplit/>
        </w:trPr>
        <w:tc>
          <w:tcPr>
            <w:tcW w:type="dxa" w:w="2267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网页/RSS 结构变化</w:t>
            </w:r>
          </w:p>
        </w:tc>
        <w:tc>
          <w:tcPr>
            <w:tcW w:type="dxa" w:w="85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高</w:t>
            </w:r>
          </w:p>
        </w:tc>
        <w:tc>
          <w:tcPr>
            <w:tcW w:type="dxa" w:w="85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中</w:t>
            </w:r>
          </w:p>
        </w:tc>
        <w:tc>
          <w:tcPr>
            <w:tcW w:type="dxa" w:w="5442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解析器契约测试；失败降级；优先官方 API/RSS；告警源健康状态</w:t>
            </w:r>
          </w:p>
        </w:tc>
      </w:tr>
      <w:tr>
        <w:trPr>
          <w:cantSplit/>
        </w:trPr>
        <w:tc>
          <w:tcPr>
            <w:tcW w:type="dxa" w:w="226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IEX 成交量不完整</w:t>
            </w:r>
          </w:p>
        </w:tc>
        <w:tc>
          <w:tcPr>
            <w:tcW w:type="dxa" w:w="8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高</w:t>
            </w:r>
          </w:p>
        </w:tc>
        <w:tc>
          <w:tcPr>
            <w:tcW w:type="dxa" w:w="8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高</w:t>
            </w:r>
          </w:p>
        </w:tc>
        <w:tc>
          <w:tcPr>
            <w:tcW w:type="dxa" w:w="544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字段命名 IEX_RVOL；不与全市场混用；缺失即 N/A</w:t>
            </w:r>
          </w:p>
        </w:tc>
      </w:tr>
      <w:tr>
        <w:trPr>
          <w:cantSplit/>
        </w:trPr>
        <w:tc>
          <w:tcPr>
            <w:tcW w:type="dxa" w:w="2267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模型幻觉/法律阶段混淆</w:t>
            </w:r>
          </w:p>
        </w:tc>
        <w:tc>
          <w:tcPr>
            <w:tcW w:type="dxa" w:w="85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中</w:t>
            </w:r>
          </w:p>
        </w:tc>
        <w:tc>
          <w:tcPr>
            <w:tcW w:type="dxa" w:w="85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高</w:t>
            </w:r>
          </w:p>
        </w:tc>
        <w:tc>
          <w:tcPr>
            <w:tcW w:type="dxa" w:w="5442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结构化 schema；证据句；关键词规则；S 级硬门槛；人工复核</w:t>
            </w:r>
          </w:p>
        </w:tc>
      </w:tr>
      <w:tr>
        <w:trPr>
          <w:cantSplit/>
        </w:trPr>
        <w:tc>
          <w:tcPr>
            <w:tcW w:type="dxa" w:w="226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主体/代码歧义</w:t>
            </w:r>
          </w:p>
        </w:tc>
        <w:tc>
          <w:tcPr>
            <w:tcW w:type="dxa" w:w="8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中</w:t>
            </w:r>
          </w:p>
        </w:tc>
        <w:tc>
          <w:tcPr>
            <w:tcW w:type="dxa" w:w="8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高</w:t>
            </w:r>
          </w:p>
        </w:tc>
        <w:tc>
          <w:tcPr>
            <w:tcW w:type="dxa" w:w="544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CIK/交易所/合约地址优先；低置信度不推送资产扩散</w:t>
            </w:r>
          </w:p>
        </w:tc>
      </w:tr>
      <w:tr>
        <w:trPr>
          <w:cantSplit/>
        </w:trPr>
        <w:tc>
          <w:tcPr>
            <w:tcW w:type="dxa" w:w="2267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新闻全文版权</w:t>
            </w:r>
          </w:p>
        </w:tc>
        <w:tc>
          <w:tcPr>
            <w:tcW w:type="dxa" w:w="85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中</w:t>
            </w:r>
          </w:p>
        </w:tc>
        <w:tc>
          <w:tcPr>
            <w:tcW w:type="dxa" w:w="85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高</w:t>
            </w:r>
          </w:p>
        </w:tc>
        <w:tc>
          <w:tcPr>
            <w:tcW w:type="dxa" w:w="5442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不批量保存/转发全文；保留短摘要、哈希、链接；遵守条款与 robots</w:t>
            </w:r>
          </w:p>
        </w:tc>
      </w:tr>
      <w:tr>
        <w:trPr>
          <w:cantSplit/>
        </w:trPr>
        <w:tc>
          <w:tcPr>
            <w:tcW w:type="dxa" w:w="226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来源本身延迟</w:t>
            </w:r>
          </w:p>
        </w:tc>
        <w:tc>
          <w:tcPr>
            <w:tcW w:type="dxa" w:w="8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高</w:t>
            </w:r>
          </w:p>
        </w:tc>
        <w:tc>
          <w:tcPr>
            <w:tcW w:type="dxa" w:w="8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中</w:t>
            </w:r>
          </w:p>
        </w:tc>
        <w:tc>
          <w:tcPr>
            <w:tcW w:type="dxa" w:w="544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区分 source_time 与 first_seen_at；不宣称机构级速度</w:t>
            </w:r>
          </w:p>
        </w:tc>
      </w:tr>
      <w:tr>
        <w:trPr>
          <w:cantSplit/>
        </w:trPr>
        <w:tc>
          <w:tcPr>
            <w:tcW w:type="dxa" w:w="2267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回测未来泄漏</w:t>
            </w:r>
          </w:p>
        </w:tc>
        <w:tc>
          <w:tcPr>
            <w:tcW w:type="dxa" w:w="85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中</w:t>
            </w:r>
          </w:p>
        </w:tc>
        <w:tc>
          <w:tcPr>
            <w:tcW w:type="dxa" w:w="85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高</w:t>
            </w:r>
          </w:p>
        </w:tc>
        <w:tc>
          <w:tcPr>
            <w:tcW w:type="dxa" w:w="5442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事件版本化；模拟当时时钟；只读取 t0 前可见信息</w:t>
            </w:r>
          </w:p>
        </w:tc>
      </w:tr>
      <w:tr>
        <w:trPr>
          <w:cantSplit/>
        </w:trPr>
        <w:tc>
          <w:tcPr>
            <w:tcW w:type="dxa" w:w="226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告警疲劳</w:t>
            </w:r>
          </w:p>
        </w:tc>
        <w:tc>
          <w:tcPr>
            <w:tcW w:type="dxa" w:w="8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中</w:t>
            </w:r>
          </w:p>
        </w:tc>
        <w:tc>
          <w:tcPr>
            <w:tcW w:type="dxa" w:w="8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中</w:t>
            </w:r>
          </w:p>
        </w:tc>
        <w:tc>
          <w:tcPr>
            <w:tcW w:type="dxa" w:w="544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S/A 主动推送；B/C 摘要；事件线程更新；每日限额</w:t>
            </w:r>
          </w:p>
        </w:tc>
      </w:tr>
      <w:tr>
        <w:trPr>
          <w:cantSplit/>
        </w:trPr>
        <w:tc>
          <w:tcPr>
            <w:tcW w:type="dxa" w:w="2267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6"/>
              </w:rPr>
              <w:t>本地模型资源不足</w:t>
            </w:r>
          </w:p>
        </w:tc>
        <w:tc>
          <w:tcPr>
            <w:tcW w:type="dxa" w:w="85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中</w:t>
            </w:r>
          </w:p>
        </w:tc>
        <w:tc>
          <w:tcPr>
            <w:tcW w:type="dxa" w:w="85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中</w:t>
            </w:r>
          </w:p>
        </w:tc>
        <w:tc>
          <w:tcPr>
            <w:tcW w:type="dxa" w:w="5442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6"/>
              </w:rPr>
              <w:t>小模型/量化；异步队列；规则降级；不调用付费 API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9.2 合规控制</w:t>
      </w:r>
    </w:p>
    <w:p>
      <w:pPr>
        <w:pStyle w:val="ListBullet"/>
        <w:keepNext w:val="0"/>
        <w:widowControl/>
        <w:spacing w:before="0" w:after="40" w:line="288" w:lineRule="auto"/>
      </w:pPr>
      <w:r>
        <w:rPr>
          <w:rFonts w:ascii="Noto Sans CJK SC" w:hAnsi="Noto Sans CJK SC" w:eastAsia="Noto Sans CJK SC"/>
          <w:color w:val="40515D"/>
          <w:sz w:val="19"/>
        </w:rPr>
        <w:t>每个来源在 registry 中记录 Terms 与 robots 链接；HTML 适配器默认关闭，完成检查后启用。</w:t>
      </w:r>
    </w:p>
    <w:p>
      <w:pPr>
        <w:pStyle w:val="ListBullet"/>
        <w:keepNext w:val="0"/>
        <w:widowControl/>
        <w:spacing w:before="0" w:after="40" w:line="288" w:lineRule="auto"/>
      </w:pPr>
      <w:r>
        <w:rPr>
          <w:rFonts w:ascii="Noto Sans CJK SC" w:hAnsi="Noto Sans CJK SC" w:eastAsia="Noto Sans CJK SC"/>
          <w:color w:val="40515D"/>
          <w:sz w:val="19"/>
        </w:rPr>
        <w:t>消息只展示必要事实、模型摘要与原始链接；不把受版权保护的文章全文复制到数据库或频道。</w:t>
      </w:r>
    </w:p>
    <w:p>
      <w:pPr>
        <w:pStyle w:val="ListBullet"/>
        <w:keepNext w:val="0"/>
        <w:widowControl/>
        <w:spacing w:before="0" w:after="40" w:line="288" w:lineRule="auto"/>
      </w:pPr>
      <w:r>
        <w:rPr>
          <w:rFonts w:ascii="Noto Sans CJK SC" w:hAnsi="Noto Sans CJK SC" w:eastAsia="Noto Sans CJK SC"/>
          <w:color w:val="40515D"/>
          <w:sz w:val="19"/>
        </w:rPr>
        <w:t>监管与法律事件严格区分“调查、指控、起诉、判决、和解”，不以涉嫌代替定罪。</w:t>
      </w:r>
    </w:p>
    <w:p>
      <w:pPr>
        <w:pStyle w:val="ListBullet"/>
        <w:keepNext w:val="0"/>
        <w:widowControl/>
        <w:spacing w:before="0" w:after="40" w:line="288" w:lineRule="auto"/>
      </w:pPr>
      <w:r>
        <w:rPr>
          <w:rFonts w:ascii="Noto Sans CJK SC" w:hAnsi="Noto Sans CJK SC" w:eastAsia="Noto Sans CJK SC"/>
          <w:color w:val="40515D"/>
          <w:sz w:val="19"/>
        </w:rPr>
        <w:t>系统说明固定包含“研究/监控用途，不构成投资建议”；不为第三方代客交易。</w:t>
      </w:r>
    </w:p>
    <w:p>
      <w:pPr>
        <w:pStyle w:val="ListBullet"/>
        <w:keepNext w:val="0"/>
        <w:widowControl/>
        <w:spacing w:before="0" w:after="40" w:line="288" w:lineRule="auto"/>
      </w:pPr>
      <w:r>
        <w:rPr>
          <w:rFonts w:ascii="Noto Sans CJK SC" w:hAnsi="Noto Sans CJK SC" w:eastAsia="Noto Sans CJK SC"/>
          <w:color w:val="40515D"/>
          <w:sz w:val="19"/>
        </w:rPr>
        <w:t>如未来向公众或客户提供服务，应重新评估数据再分发授权、投资顾问监管和隐私义务。</w:t>
      </w:r>
    </w:p>
    <w:p>
      <w:pPr>
        <w:pStyle w:val="Heading2"/>
        <w:pageBreakBefore w:val="0"/>
      </w:pPr>
      <w:r>
        <w:t>9.3 日常运营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7710"/>
      </w:tblGrid>
      <w:tr>
        <w:trPr>
          <w:tblHeader w:val="true"/>
          <w:cantSplit/>
        </w:trPr>
        <w:tc>
          <w:tcPr>
            <w:tcW w:type="dxa" w:w="1700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频率</w:t>
            </w:r>
          </w:p>
        </w:tc>
        <w:tc>
          <w:tcPr>
            <w:tcW w:type="dxa" w:w="7710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动作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每日</w:t>
            </w:r>
          </w:p>
        </w:tc>
        <w:tc>
          <w:tcPr>
            <w:tcW w:type="dxa" w:w="771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检查失败源、配额、队列、重复率、S/A 告警与撤销；生成运行摘要</w:t>
            </w:r>
          </w:p>
        </w:tc>
      </w:tr>
      <w:tr>
        <w:trPr>
          <w:cantSplit/>
        </w:trPr>
        <w:tc>
          <w:tcPr>
            <w:tcW w:type="dxa" w:w="170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每周</w:t>
            </w:r>
          </w:p>
        </w:tc>
        <w:tc>
          <w:tcPr>
            <w:tcW w:type="dxa" w:w="771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抽样 50–100 个事件；复核分类、实体、资产关系；更新 hard/weak/rejected 标签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每月</w:t>
            </w:r>
          </w:p>
        </w:tc>
        <w:tc>
          <w:tcPr>
            <w:tcW w:type="dxa" w:w="771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来源清单与条款复核；免费政策变化；删除无价值源；回归测试</w:t>
            </w:r>
          </w:p>
        </w:tc>
      </w:tr>
      <w:tr>
        <w:trPr>
          <w:cantSplit/>
        </w:trPr>
        <w:tc>
          <w:tcPr>
            <w:tcW w:type="dxa" w:w="170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每次发布</w:t>
            </w:r>
          </w:p>
        </w:tc>
        <w:tc>
          <w:tcPr>
            <w:tcW w:type="dxa" w:w="771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锁定配置与模型版本；运行历史回放；保留变更日志和回滚包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9.4 成本表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4"/>
        <w:gridCol w:w="1700"/>
        <w:gridCol w:w="4875"/>
      </w:tblGrid>
      <w:tr>
        <w:trPr>
          <w:tblHeader w:val="true"/>
          <w:cantSplit/>
        </w:trPr>
        <w:tc>
          <w:tcPr>
            <w:tcW w:type="dxa" w:w="2834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1700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新增成本</w:t>
            </w:r>
          </w:p>
        </w:tc>
        <w:tc>
          <w:tcPr>
            <w:tcW w:type="dxa" w:w="4875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83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新闻 / 官方数据 API</w:t>
            </w:r>
          </w:p>
        </w:tc>
        <w:tc>
          <w:tcPr>
            <w:tcW w:type="dxa" w:w="17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0 元</w:t>
            </w:r>
          </w:p>
        </w:tc>
        <w:tc>
          <w:tcPr>
            <w:tcW w:type="dxa" w:w="487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只使用免费公开源；试用接口不进入核心</w:t>
            </w:r>
          </w:p>
        </w:tc>
      </w:tr>
      <w:tr>
        <w:trPr>
          <w:cantSplit/>
        </w:trPr>
        <w:tc>
          <w:tcPr>
            <w:tcW w:type="dxa" w:w="283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市场数据</w:t>
            </w:r>
          </w:p>
        </w:tc>
        <w:tc>
          <w:tcPr>
            <w:tcW w:type="dxa" w:w="170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0 元</w:t>
            </w:r>
          </w:p>
        </w:tc>
        <w:tc>
          <w:tcPr>
            <w:tcW w:type="dxa" w:w="4875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IEX 免费权限 + Binance 公共接口；口径受限</w:t>
            </w:r>
          </w:p>
        </w:tc>
      </w:tr>
      <w:tr>
        <w:trPr>
          <w:cantSplit/>
        </w:trPr>
        <w:tc>
          <w:tcPr>
            <w:tcW w:type="dxa" w:w="283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模型 API</w:t>
            </w:r>
          </w:p>
        </w:tc>
        <w:tc>
          <w:tcPr>
            <w:tcW w:type="dxa" w:w="17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0 元</w:t>
            </w:r>
          </w:p>
        </w:tc>
        <w:tc>
          <w:tcPr>
            <w:tcW w:type="dxa" w:w="487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本地推理；不可用时规则降级</w:t>
            </w:r>
          </w:p>
        </w:tc>
      </w:tr>
      <w:tr>
        <w:trPr>
          <w:cantSplit/>
        </w:trPr>
        <w:tc>
          <w:tcPr>
            <w:tcW w:type="dxa" w:w="283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数据库 / 消息</w:t>
            </w:r>
          </w:p>
        </w:tc>
        <w:tc>
          <w:tcPr>
            <w:tcW w:type="dxa" w:w="170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0 元</w:t>
            </w:r>
          </w:p>
        </w:tc>
        <w:tc>
          <w:tcPr>
            <w:tcW w:type="dxa" w:w="4875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SQLite + Telegram Bot API</w:t>
            </w:r>
          </w:p>
        </w:tc>
      </w:tr>
      <w:tr>
        <w:trPr>
          <w:cantSplit/>
        </w:trPr>
        <w:tc>
          <w:tcPr>
            <w:tcW w:type="dxa" w:w="283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云服务器</w:t>
            </w:r>
          </w:p>
        </w:tc>
        <w:tc>
          <w:tcPr>
            <w:tcW w:type="dxa" w:w="17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0 元</w:t>
            </w:r>
          </w:p>
        </w:tc>
        <w:tc>
          <w:tcPr>
            <w:tcW w:type="dxa" w:w="487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本机或现有设备运行；不把免费云试用作为前提</w:t>
            </w:r>
          </w:p>
        </w:tc>
      </w:tr>
      <w:tr>
        <w:trPr>
          <w:cantSplit/>
        </w:trPr>
        <w:tc>
          <w:tcPr>
            <w:tcW w:type="dxa" w:w="283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新增现金成本合计</w:t>
            </w:r>
          </w:p>
        </w:tc>
        <w:tc>
          <w:tcPr>
            <w:tcW w:type="dxa" w:w="170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0 元/月</w:t>
            </w:r>
          </w:p>
        </w:tc>
        <w:tc>
          <w:tcPr>
            <w:tcW w:type="dxa" w:w="4875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不含已有硬件、网络、电费和开发时间</w:t>
            </w:r>
          </w:p>
        </w:tc>
      </w:tr>
    </w:tbl>
    <w:p>
      <w:pPr>
        <w:spacing w:after="0"/>
      </w:pPr>
    </w:p>
    <w:p>
      <w:pPr>
        <w:pStyle w:val="Heading1"/>
        <w:pageBreakBefore w:val="0"/>
        <w:pBdr>
          <w:bottom w:val="single" w:sz="7" w:space="5" w:color="2A7F8E"/>
        </w:pBdr>
      </w:pPr>
      <w:r>
        <w:t>10. 交付物与附录</w:t>
      </w:r>
    </w:p>
    <w:p>
      <w:pPr>
        <w:pStyle w:val="Heading2"/>
        <w:pageBreakBefore w:val="0"/>
      </w:pPr>
      <w:r>
        <w:t>10.1 MVP 交付清单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174"/>
        <w:gridCol w:w="5385"/>
      </w:tblGrid>
      <w:tr>
        <w:trPr>
          <w:tblHeader w:val="true"/>
          <w:cantSplit/>
        </w:trPr>
        <w:tc>
          <w:tcPr>
            <w:tcW w:type="dxa" w:w="850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174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5385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最低内容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D1</w:t>
            </w:r>
          </w:p>
        </w:tc>
        <w:tc>
          <w:tcPr>
            <w:tcW w:type="dxa" w:w="31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source-registry.yaml 与来源合规记录</w:t>
            </w:r>
          </w:p>
        </w:tc>
        <w:tc>
          <w:tcPr>
            <w:tcW w:type="dxa" w:w="538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可启停、分级、限额、条款链接、健康阈值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D2</w:t>
            </w:r>
          </w:p>
        </w:tc>
        <w:tc>
          <w:tcPr>
            <w:tcW w:type="dxa" w:w="317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采集适配器</w:t>
            </w:r>
          </w:p>
        </w:tc>
        <w:tc>
          <w:tcPr>
            <w:tcW w:type="dxa" w:w="5385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SEC/Fed/BLS/BEA/GDELT/Marketaux/Binance；至少 5 个 P0 源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D3</w:t>
            </w:r>
          </w:p>
        </w:tc>
        <w:tc>
          <w:tcPr>
            <w:tcW w:type="dxa" w:w="31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SQLite schema 与迁移脚本</w:t>
            </w:r>
          </w:p>
        </w:tc>
        <w:tc>
          <w:tcPr>
            <w:tcW w:type="dxa" w:w="538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原始条目、事件、来源、实体、行情、模型、告警、标签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D4</w:t>
            </w:r>
          </w:p>
        </w:tc>
        <w:tc>
          <w:tcPr>
            <w:tcW w:type="dxa" w:w="317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事件处理引擎</w:t>
            </w:r>
          </w:p>
        </w:tc>
        <w:tc>
          <w:tcPr>
            <w:tcW w:type="dxa" w:w="5385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规范化、去重、聚类、抽取、分级、确认与状态机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D5</w:t>
            </w:r>
          </w:p>
        </w:tc>
        <w:tc>
          <w:tcPr>
            <w:tcW w:type="dxa" w:w="31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资产与行情引擎</w:t>
            </w:r>
          </w:p>
        </w:tc>
        <w:tc>
          <w:tcPr>
            <w:tcW w:type="dxa" w:w="538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symbol master、关系证据、基准、收益/波动/IEX_RVOL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D6</w:t>
            </w:r>
          </w:p>
        </w:tc>
        <w:tc>
          <w:tcPr>
            <w:tcW w:type="dxa" w:w="317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Telegram Bot</w:t>
            </w:r>
          </w:p>
        </w:tc>
        <w:tc>
          <w:tcPr>
            <w:tcW w:type="dxa" w:w="5385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事件卡、更新、更正、观察池、每日摘要、健康命令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D7</w:t>
            </w:r>
          </w:p>
        </w:tc>
        <w:tc>
          <w:tcPr>
            <w:tcW w:type="dxa" w:w="31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Replay Evaluator</w:t>
            </w:r>
          </w:p>
        </w:tc>
        <w:tc>
          <w:tcPr>
            <w:tcW w:type="dxa" w:w="538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历史回放、冻结时钟、指标报告、错误样本导出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D8</w:t>
            </w:r>
          </w:p>
        </w:tc>
        <w:tc>
          <w:tcPr>
            <w:tcW w:type="dxa" w:w="3174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运行文档</w:t>
            </w:r>
          </w:p>
        </w:tc>
        <w:tc>
          <w:tcPr>
            <w:tcW w:type="dxa" w:w="5385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安装、配置、备份、恢复、来源故障、模型降级、合规说明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10.2 事件类型字典（首版）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029"/>
      </w:tblGrid>
      <w:tr>
        <w:trPr>
          <w:tblHeader w:val="true"/>
          <w:cantSplit/>
        </w:trPr>
        <w:tc>
          <w:tcPr>
            <w:tcW w:type="dxa" w:w="2381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大类</w:t>
            </w:r>
          </w:p>
        </w:tc>
        <w:tc>
          <w:tcPr>
            <w:tcW w:type="dxa" w:w="7029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子类示例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监管 / 法律</w:t>
            </w:r>
          </w:p>
        </w:tc>
        <w:tc>
          <w:tcPr>
            <w:tcW w:type="dxa" w:w="702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investigation、enforcement、lawsuit、indictment、settlement、sanction</w:t>
            </w:r>
          </w:p>
        </w:tc>
      </w:tr>
      <w:tr>
        <w:trPr>
          <w:cantSplit/>
        </w:trPr>
        <w:tc>
          <w:tcPr>
            <w:tcW w:type="dxa" w:w="2381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财务 / 披露</w:t>
            </w:r>
          </w:p>
        </w:tc>
        <w:tc>
          <w:tcPr>
            <w:tcW w:type="dxa" w:w="7029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earnings、guidance、restatement、auditor、internal_control、going_concern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资本结构</w:t>
            </w:r>
          </w:p>
        </w:tc>
        <w:tc>
          <w:tcPr>
            <w:tcW w:type="dxa" w:w="702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offering、buyback、dividend、debt、default、bankruptcy、rating</w:t>
            </w:r>
          </w:p>
        </w:tc>
      </w:tr>
      <w:tr>
        <w:trPr>
          <w:cantSplit/>
        </w:trPr>
        <w:tc>
          <w:tcPr>
            <w:tcW w:type="dxa" w:w="2381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公司行动</w:t>
            </w:r>
          </w:p>
        </w:tc>
        <w:tc>
          <w:tcPr>
            <w:tcW w:type="dxa" w:w="7029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M&amp;A、spin-off、CEO/CFO、activist、strategic_review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经营 / 供应</w:t>
            </w:r>
          </w:p>
        </w:tc>
        <w:tc>
          <w:tcPr>
            <w:tcW w:type="dxa" w:w="702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outage、fire、recall、strike、capacity、shipment、supplier_disruption</w:t>
            </w:r>
          </w:p>
        </w:tc>
      </w:tr>
      <w:tr>
        <w:trPr>
          <w:cantSplit/>
        </w:trPr>
        <w:tc>
          <w:tcPr>
            <w:tcW w:type="dxa" w:w="2381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产品 / 审批</w:t>
            </w:r>
          </w:p>
        </w:tc>
        <w:tc>
          <w:tcPr>
            <w:tcW w:type="dxa" w:w="7029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FDA/监管审批、临床结果、禁令、重大合同、产品发布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网络安全</w:t>
            </w:r>
          </w:p>
        </w:tc>
        <w:tc>
          <w:tcPr>
            <w:tcW w:type="dxa" w:w="702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breach、ransomware、data_leak、protocol_exploit、key_compromise</w:t>
            </w:r>
          </w:p>
        </w:tc>
      </w:tr>
      <w:tr>
        <w:trPr>
          <w:cantSplit/>
        </w:trPr>
        <w:tc>
          <w:tcPr>
            <w:tcW w:type="dxa" w:w="2381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宏观 / 央行</w:t>
            </w:r>
          </w:p>
        </w:tc>
        <w:tc>
          <w:tcPr>
            <w:tcW w:type="dxa" w:w="7029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rate_decision、CPI、employment、GDP、liquidity、capital_control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地缘 / 商品</w:t>
            </w:r>
          </w:p>
        </w:tc>
        <w:tc>
          <w:tcPr>
            <w:tcW w:type="dxa" w:w="702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war、sanction、tariff、export_control、OPEC、mine/port disruption</w:t>
            </w:r>
          </w:p>
        </w:tc>
      </w:tr>
      <w:tr>
        <w:trPr>
          <w:cantSplit/>
        </w:trPr>
        <w:tc>
          <w:tcPr>
            <w:tcW w:type="dxa" w:w="2381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7"/>
              </w:rPr>
              <w:t>加密市场结构</w:t>
            </w:r>
          </w:p>
        </w:tc>
        <w:tc>
          <w:tcPr>
            <w:tcW w:type="dxa" w:w="7029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7"/>
              </w:rPr>
              <w:t>listing/delisting、reserve、withdrawal_halt、depeg、liquidation、fork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10.3 事件卡片样例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12"/>
      </w:tblGrid>
      <w:tr>
        <w:tc>
          <w:tcPr>
            <w:tcW w:type="dxa" w:w="198"/>
            <w:shd w:fill="A87313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9212"/>
            <w:shd w:fill="FFF7DD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40" w:line="283" w:lineRule="auto"/>
            </w:pPr>
            <w:r/>
            <w:r>
              <w:rPr>
                <w:rFonts w:ascii="Noto Sans CJK SC" w:hAnsi="Noto Sans CJK SC" w:eastAsia="Noto Sans CJK SC"/>
                <w:b/>
                <w:color w:val="A87313"/>
                <w:sz w:val="20"/>
              </w:rPr>
              <w:t>示例为虚构格式，不代表真实公司或实际交易建议。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40515D"/>
                <w:sz w:val="19"/>
              </w:rPr>
              <w:t>所有数值仅用于展示字段和口径；正式系统必须链接原文并附行情来源。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7370"/>
      </w:tblGrid>
      <w:tr>
        <w:trPr>
          <w:tblHeader w:val="true"/>
          <w:cantSplit/>
        </w:trPr>
        <w:tc>
          <w:tcPr>
            <w:tcW w:type="dxa" w:w="2040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370"/>
            <w:shd w:fill="183B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5" w:color="183B56"/>
              <w:left w:val="single" w:sz="5" w:color="FFFFFF"/>
              <w:bottom w:val="single" w:sz="5" w:color="183B56"/>
              <w:right w:val="single" w:sz="5" w:color="FFFFFF"/>
            </w:tcBorders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0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事件</w:t>
            </w:r>
          </w:p>
        </w:tc>
        <w:tc>
          <w:tcPr>
            <w:tcW w:type="dxa" w:w="737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SEC 对 XYZ 公司启动会计调查</w:t>
            </w:r>
          </w:p>
        </w:tc>
      </w:tr>
      <w:tr>
        <w:trPr>
          <w:cantSplit/>
        </w:trPr>
        <w:tc>
          <w:tcPr>
            <w:tcW w:type="dxa" w:w="204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类别</w:t>
            </w:r>
          </w:p>
        </w:tc>
        <w:tc>
          <w:tcPr>
            <w:tcW w:type="dxa" w:w="737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财务披露 / 违法监管</w:t>
            </w:r>
          </w:p>
        </w:tc>
      </w:tr>
      <w:tr>
        <w:trPr>
          <w:cantSplit/>
        </w:trPr>
        <w:tc>
          <w:tcPr>
            <w:tcW w:type="dxa" w:w="20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等级</w:t>
            </w:r>
          </w:p>
        </w:tc>
        <w:tc>
          <w:tcPr>
            <w:tcW w:type="dxa" w:w="737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S · P0 · N2 · 已确认</w:t>
            </w:r>
          </w:p>
        </w:tc>
      </w:tr>
      <w:tr>
        <w:trPr>
          <w:cantSplit/>
        </w:trPr>
        <w:tc>
          <w:tcPr>
            <w:tcW w:type="dxa" w:w="204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首次出现</w:t>
            </w:r>
          </w:p>
        </w:tc>
        <w:tc>
          <w:tcPr>
            <w:tcW w:type="dxa" w:w="737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14:31:42 ET（来源发布 14:31:00 ET）</w:t>
            </w:r>
          </w:p>
        </w:tc>
      </w:tr>
      <w:tr>
        <w:trPr>
          <w:cantSplit/>
        </w:trPr>
        <w:tc>
          <w:tcPr>
            <w:tcW w:type="dxa" w:w="20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信源</w:t>
            </w:r>
          </w:p>
        </w:tc>
        <w:tc>
          <w:tcPr>
            <w:tcW w:type="dxa" w:w="737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SEC 监管原文 · 原始链接 · 文档哈希</w:t>
            </w:r>
          </w:p>
        </w:tc>
      </w:tr>
      <w:tr>
        <w:trPr>
          <w:cantSplit/>
        </w:trPr>
        <w:tc>
          <w:tcPr>
            <w:tcW w:type="dxa" w:w="204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相关资产</w:t>
            </w:r>
          </w:p>
        </w:tc>
        <w:tc>
          <w:tcPr>
            <w:tcW w:type="dxa" w:w="737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XYZ（PRIMARY）；行业 ETF（SECTOR，置信度 0.82）</w:t>
            </w:r>
          </w:p>
        </w:tc>
      </w:tr>
      <w:tr>
        <w:trPr>
          <w:cantSplit/>
        </w:trPr>
        <w:tc>
          <w:tcPr>
            <w:tcW w:type="dxa" w:w="20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价格反应</w:t>
            </w:r>
          </w:p>
        </w:tc>
        <w:tc>
          <w:tcPr>
            <w:tcW w:type="dxa" w:w="737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15 分钟 -8.7%；相对行业 ETF -7.9%</w:t>
            </w:r>
          </w:p>
        </w:tc>
      </w:tr>
      <w:tr>
        <w:trPr>
          <w:cantSplit/>
        </w:trPr>
        <w:tc>
          <w:tcPr>
            <w:tcW w:type="dxa" w:w="204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成交量</w:t>
            </w:r>
          </w:p>
        </w:tc>
        <w:tc>
          <w:tcPr>
            <w:tcW w:type="dxa" w:w="737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IEX_RVOL 4.2×（仅 IEX，不代表全市场）</w:t>
            </w:r>
          </w:p>
        </w:tc>
      </w:tr>
      <w:tr>
        <w:trPr>
          <w:cantSplit/>
        </w:trPr>
        <w:tc>
          <w:tcPr>
            <w:tcW w:type="dxa" w:w="20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建议动作</w:t>
            </w:r>
          </w:p>
        </w:tc>
        <w:tc>
          <w:tcPr>
            <w:tcW w:type="dxa" w:w="737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进入观察池；等待趋势与流动性确认；禁止仅凭摘要追空</w:t>
            </w:r>
          </w:p>
        </w:tc>
      </w:tr>
      <w:tr>
        <w:trPr>
          <w:cantSplit/>
        </w:trPr>
        <w:tc>
          <w:tcPr>
            <w:tcW w:type="dxa" w:w="204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/>
                <w:color w:val="183B56"/>
                <w:sz w:val="18"/>
              </w:rPr>
              <w:t>下一检查</w:t>
            </w:r>
          </w:p>
        </w:tc>
        <w:tc>
          <w:tcPr>
            <w:tcW w:type="dxa" w:w="7370"/>
            <w:shd w:fill="F7F9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515D"/>
                <w:sz w:val="18"/>
              </w:rPr>
              <w:t>公司回应 / 8-K / 停复牌 / 60 分钟市场反应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10.4 第一阶段开工清单</w:t>
      </w:r>
    </w:p>
    <w:p>
      <w:pPr>
        <w:pStyle w:val="ListNumber"/>
        <w:keepNext w:val="0"/>
        <w:widowControl/>
        <w:spacing w:before="0" w:after="60" w:line="288" w:lineRule="auto"/>
      </w:pPr>
      <w:r>
        <w:rPr>
          <w:rFonts w:ascii="Noto Sans CJK SC" w:hAnsi="Noto Sans CJK SC" w:eastAsia="Noto Sans CJK SC"/>
          <w:color w:val="40515D"/>
          <w:sz w:val="19"/>
        </w:rPr>
        <w:t>冻结关注资产清单：先选 100–300 个美股/ETF 与 20–50 个加密交易对，避免一开始追求全市场。</w:t>
      </w:r>
    </w:p>
    <w:p>
      <w:pPr>
        <w:pStyle w:val="ListNumber"/>
        <w:keepNext w:val="0"/>
        <w:widowControl/>
        <w:spacing w:before="0" w:after="60" w:line="288" w:lineRule="auto"/>
      </w:pPr>
      <w:r>
        <w:rPr>
          <w:rFonts w:ascii="Noto Sans CJK SC" w:hAnsi="Noto Sans CJK SC" w:eastAsia="Noto Sans CJK SC"/>
          <w:color w:val="40515D"/>
          <w:sz w:val="19"/>
        </w:rPr>
        <w:t>建立事件字典与 50–100 个 hard/weak/rejected 基准样本，明确 S/A 的正反例。</w:t>
      </w:r>
    </w:p>
    <w:p>
      <w:pPr>
        <w:pStyle w:val="ListNumber"/>
        <w:keepNext w:val="0"/>
        <w:widowControl/>
        <w:spacing w:before="0" w:after="60" w:line="288" w:lineRule="auto"/>
      </w:pPr>
      <w:r>
        <w:rPr>
          <w:rFonts w:ascii="Noto Sans CJK SC" w:hAnsi="Noto Sans CJK SC" w:eastAsia="Noto Sans CJK SC"/>
          <w:color w:val="40515D"/>
          <w:sz w:val="19"/>
        </w:rPr>
        <w:t>完成来源注册表，接入 SEC、Fed、BLS、BEA、GDELT、Marketaux、Binance，并跑 48 小时烘烤测试。</w:t>
      </w:r>
    </w:p>
    <w:p>
      <w:pPr>
        <w:pStyle w:val="ListNumber"/>
        <w:keepNext w:val="0"/>
        <w:widowControl/>
        <w:spacing w:before="0" w:after="60" w:line="288" w:lineRule="auto"/>
      </w:pPr>
      <w:r>
        <w:rPr>
          <w:rFonts w:ascii="Noto Sans CJK SC" w:hAnsi="Noto Sans CJK SC" w:eastAsia="Noto Sans CJK SC"/>
          <w:color w:val="40515D"/>
          <w:sz w:val="19"/>
        </w:rPr>
        <w:t>根据烘烤数据决定轮询频率、缓存策略和正式/试验来源，不凭宣传页估计性能。</w:t>
      </w:r>
    </w:p>
    <w:p>
      <w:pPr>
        <w:pStyle w:val="ListNumber"/>
        <w:keepNext w:val="0"/>
        <w:widowControl/>
        <w:spacing w:before="0" w:after="60" w:line="288" w:lineRule="auto"/>
      </w:pPr>
      <w:r>
        <w:rPr>
          <w:rFonts w:ascii="Noto Sans CJK SC" w:hAnsi="Noto Sans CJK SC" w:eastAsia="Noto Sans CJK SC"/>
          <w:color w:val="40515D"/>
          <w:sz w:val="19"/>
        </w:rPr>
        <w:t>先实现规则版端到端闭环，再加入本地模型；每次升级都在冻结测试集上比较。</w:t>
      </w:r>
    </w:p>
    <w:p>
      <w:pPr>
        <w:pStyle w:val="ListNumber"/>
        <w:keepNext w:val="0"/>
        <w:widowControl/>
        <w:spacing w:before="0" w:after="60" w:line="288" w:lineRule="auto"/>
      </w:pPr>
      <w:r>
        <w:rPr>
          <w:rFonts w:ascii="Noto Sans CJK SC" w:hAnsi="Noto Sans CJK SC" w:eastAsia="Noto Sans CJK SC"/>
          <w:color w:val="40515D"/>
          <w:sz w:val="19"/>
        </w:rPr>
        <w:t>至少影子运行两周，只有误报、延迟、映射与口径指标达标后，才允许把告警纳入人工交易研究流程。</w:t>
      </w:r>
    </w:p>
    <w:p>
      <w:pPr>
        <w:pStyle w:val="Heading2"/>
        <w:pageBreakBefore/>
      </w:pPr>
      <w:r>
        <w:t>10.5 参考资料（官方链接）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5"/>
        <w:gridCol w:w="4705"/>
      </w:tblGrid>
      <w:tr>
        <w:trPr>
          <w:cantSplit/>
          <w:cantSplit/>
        </w:trPr>
        <w:tc>
          <w:tcPr>
            <w:tcW w:type="dxa" w:w="4705"/>
            <w:shd w:fill="FFFFFF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F6672"/>
                <w:sz w:val="15"/>
              </w:rPr>
              <w:t xml:space="preserve">[R1] </w:t>
            </w:r>
            <w:hyperlink r:id="rId10">
              <w:r>
                <w:rPr>
                  <w:rFonts w:ascii="Noto Sans CJK SC" w:hAnsi="Noto Sans CJK SC" w:eastAsia="Noto Sans CJK SC"/>
                  <w:color w:val="3976A8"/>
                  <w:u w:val="single"/>
                  <w:sz w:val="15"/>
                </w:rPr>
                <w:t>SEC Developer Resources</w:t>
              </w:r>
            </w:hyperlink>
          </w:p>
        </w:tc>
        <w:tc>
          <w:tcPr>
            <w:tcW w:type="dxa" w:w="4705"/>
            <w:shd w:fill="FFFFFF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F6672"/>
                <w:sz w:val="15"/>
              </w:rPr>
              <w:t xml:space="preserve">[R2] </w:t>
            </w:r>
            <w:hyperlink r:id="rId11">
              <w:r>
                <w:rPr>
                  <w:rFonts w:ascii="Noto Sans CJK SC" w:hAnsi="Noto Sans CJK SC" w:eastAsia="Noto Sans CJK SC"/>
                  <w:color w:val="3976A8"/>
                  <w:u w:val="single"/>
                  <w:sz w:val="15"/>
                </w:rPr>
                <w:t>Federal Reserve RSS</w:t>
              </w:r>
            </w:hyperlink>
          </w:p>
        </w:tc>
      </w:tr>
      <w:tr>
        <w:trPr>
          <w:cantSplit/>
          <w:cantSplit/>
        </w:trPr>
        <w:tc>
          <w:tcPr>
            <w:tcW w:type="dxa" w:w="4705"/>
            <w:shd w:fill="F7F9FA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F6672"/>
                <w:sz w:val="15"/>
              </w:rPr>
              <w:t xml:space="preserve">[R3] </w:t>
            </w:r>
            <w:hyperlink r:id="rId12">
              <w:r>
                <w:rPr>
                  <w:rFonts w:ascii="Noto Sans CJK SC" w:hAnsi="Noto Sans CJK SC" w:eastAsia="Noto Sans CJK SC"/>
                  <w:color w:val="3976A8"/>
                  <w:u w:val="single"/>
                  <w:sz w:val="15"/>
                </w:rPr>
                <w:t>BLS Feeds / API</w:t>
              </w:r>
            </w:hyperlink>
          </w:p>
        </w:tc>
        <w:tc>
          <w:tcPr>
            <w:tcW w:type="dxa" w:w="4705"/>
            <w:shd w:fill="F7F9FA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F6672"/>
                <w:sz w:val="15"/>
              </w:rPr>
              <w:t xml:space="preserve">[R4] </w:t>
            </w:r>
            <w:hyperlink r:id="rId13">
              <w:r>
                <w:rPr>
                  <w:rFonts w:ascii="Noto Sans CJK SC" w:hAnsi="Noto Sans CJK SC" w:eastAsia="Noto Sans CJK SC"/>
                  <w:color w:val="3976A8"/>
                  <w:u w:val="single"/>
                  <w:sz w:val="15"/>
                </w:rPr>
                <w:t>BEA Developer Resources</w:t>
              </w:r>
            </w:hyperlink>
          </w:p>
        </w:tc>
      </w:tr>
      <w:tr>
        <w:trPr>
          <w:cantSplit/>
          <w:cantSplit/>
        </w:trPr>
        <w:tc>
          <w:tcPr>
            <w:tcW w:type="dxa" w:w="4705"/>
            <w:shd w:fill="FFFFFF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F6672"/>
                <w:sz w:val="15"/>
              </w:rPr>
              <w:t xml:space="preserve">[R5] </w:t>
            </w:r>
            <w:hyperlink r:id="rId14">
              <w:r>
                <w:rPr>
                  <w:rFonts w:ascii="Noto Sans CJK SC" w:hAnsi="Noto Sans CJK SC" w:eastAsia="Noto Sans CJK SC"/>
                  <w:color w:val="3976A8"/>
                  <w:u w:val="single"/>
                  <w:sz w:val="15"/>
                </w:rPr>
                <w:t>GDELT 2.0 Data</w:t>
              </w:r>
            </w:hyperlink>
          </w:p>
        </w:tc>
        <w:tc>
          <w:tcPr>
            <w:tcW w:type="dxa" w:w="4705"/>
            <w:shd w:fill="FFFFFF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F6672"/>
                <w:sz w:val="15"/>
              </w:rPr>
              <w:t xml:space="preserve">[R6] </w:t>
            </w:r>
            <w:hyperlink r:id="rId15">
              <w:r>
                <w:rPr>
                  <w:rFonts w:ascii="Noto Sans CJK SC" w:hAnsi="Noto Sans CJK SC" w:eastAsia="Noto Sans CJK SC"/>
                  <w:color w:val="3976A8"/>
                  <w:u w:val="single"/>
                  <w:sz w:val="15"/>
                </w:rPr>
                <w:t>Marketaux Documentation</w:t>
              </w:r>
            </w:hyperlink>
          </w:p>
        </w:tc>
      </w:tr>
      <w:tr>
        <w:trPr>
          <w:cantSplit/>
          <w:cantSplit/>
        </w:trPr>
        <w:tc>
          <w:tcPr>
            <w:tcW w:type="dxa" w:w="4705"/>
            <w:shd w:fill="F7F9FA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F6672"/>
                <w:sz w:val="15"/>
              </w:rPr>
              <w:t xml:space="preserve">[R7] </w:t>
            </w:r>
            <w:hyperlink r:id="rId16">
              <w:r>
                <w:rPr>
                  <w:rFonts w:ascii="Noto Sans CJK SC" w:hAnsi="Noto Sans CJK SC" w:eastAsia="Noto Sans CJK SC"/>
                  <w:color w:val="3976A8"/>
                  <w:u w:val="single"/>
                  <w:sz w:val="15"/>
                </w:rPr>
                <w:t>Marketaux Pricing</w:t>
              </w:r>
            </w:hyperlink>
          </w:p>
        </w:tc>
        <w:tc>
          <w:tcPr>
            <w:tcW w:type="dxa" w:w="4705"/>
            <w:shd w:fill="F7F9FA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F6672"/>
                <w:sz w:val="15"/>
              </w:rPr>
              <w:t xml:space="preserve">[R8] </w:t>
            </w:r>
            <w:hyperlink r:id="rId17">
              <w:r>
                <w:rPr>
                  <w:rFonts w:ascii="Noto Sans CJK SC" w:hAnsi="Noto Sans CJK SC" w:eastAsia="Noto Sans CJK SC"/>
                  <w:color w:val="3976A8"/>
                  <w:u w:val="single"/>
                  <w:sz w:val="15"/>
                </w:rPr>
                <w:t>Alpaca Real-time News</w:t>
              </w:r>
            </w:hyperlink>
          </w:p>
        </w:tc>
      </w:tr>
      <w:tr>
        <w:trPr>
          <w:cantSplit/>
          <w:cantSplit/>
        </w:trPr>
        <w:tc>
          <w:tcPr>
            <w:tcW w:type="dxa" w:w="4705"/>
            <w:shd w:fill="FFFFFF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F6672"/>
                <w:sz w:val="15"/>
              </w:rPr>
              <w:t xml:space="preserve">[R9] </w:t>
            </w:r>
            <w:hyperlink r:id="rId18">
              <w:r>
                <w:rPr>
                  <w:rFonts w:ascii="Noto Sans CJK SC" w:hAnsi="Noto Sans CJK SC" w:eastAsia="Noto Sans CJK SC"/>
                  <w:color w:val="3976A8"/>
                  <w:u w:val="single"/>
                  <w:sz w:val="15"/>
                </w:rPr>
                <w:t>Alpaca Historical News</w:t>
              </w:r>
            </w:hyperlink>
          </w:p>
        </w:tc>
        <w:tc>
          <w:tcPr>
            <w:tcW w:type="dxa" w:w="4705"/>
            <w:shd w:fill="FFFFFF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F6672"/>
                <w:sz w:val="15"/>
              </w:rPr>
              <w:t xml:space="preserve">[R10] </w:t>
            </w:r>
            <w:hyperlink r:id="rId19">
              <w:r>
                <w:rPr>
                  <w:rFonts w:ascii="Noto Sans CJK SC" w:hAnsi="Noto Sans CJK SC" w:eastAsia="Noto Sans CJK SC"/>
                  <w:color w:val="3976A8"/>
                  <w:u w:val="single"/>
                  <w:sz w:val="15"/>
                </w:rPr>
                <w:t>Alpaca Market Data FAQ</w:t>
              </w:r>
            </w:hyperlink>
          </w:p>
        </w:tc>
      </w:tr>
      <w:tr>
        <w:trPr>
          <w:cantSplit/>
          <w:cantSplit/>
        </w:trPr>
        <w:tc>
          <w:tcPr>
            <w:tcW w:type="dxa" w:w="4705"/>
            <w:shd w:fill="F7F9FA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F6672"/>
                <w:sz w:val="15"/>
              </w:rPr>
              <w:t xml:space="preserve">[R11] </w:t>
            </w:r>
            <w:hyperlink r:id="rId20">
              <w:r>
                <w:rPr>
                  <w:rFonts w:ascii="Noto Sans CJK SC" w:hAnsi="Noto Sans CJK SC" w:eastAsia="Noto Sans CJK SC"/>
                  <w:color w:val="3976A8"/>
                  <w:u w:val="single"/>
                  <w:sz w:val="15"/>
                </w:rPr>
                <w:t>Binance Futures WebSocket</w:t>
              </w:r>
            </w:hyperlink>
          </w:p>
        </w:tc>
        <w:tc>
          <w:tcPr>
            <w:tcW w:type="dxa" w:w="4705"/>
            <w:shd w:fill="F7F9FA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F6672"/>
                <w:sz w:val="15"/>
              </w:rPr>
              <w:t xml:space="preserve">[R12] </w:t>
            </w:r>
            <w:hyperlink r:id="rId21">
              <w:r>
                <w:rPr>
                  <w:rFonts w:ascii="Noto Sans CJK SC" w:hAnsi="Noto Sans CJK SC" w:eastAsia="Noto Sans CJK SC"/>
                  <w:color w:val="3976A8"/>
                  <w:u w:val="single"/>
                  <w:sz w:val="15"/>
                </w:rPr>
                <w:t>NewsAPI.ai Pricing</w:t>
              </w:r>
            </w:hyperlink>
          </w:p>
        </w:tc>
      </w:tr>
      <w:tr>
        <w:trPr>
          <w:cantSplit/>
          <w:cantSplit/>
        </w:trPr>
        <w:tc>
          <w:tcPr>
            <w:tcW w:type="dxa" w:w="4705"/>
            <w:shd w:fill="FFFFFF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F6672"/>
                <w:sz w:val="15"/>
              </w:rPr>
              <w:t xml:space="preserve">[R13] </w:t>
            </w:r>
            <w:hyperlink r:id="rId22">
              <w:r>
                <w:rPr>
                  <w:rFonts w:ascii="Noto Sans CJK SC" w:hAnsi="Noto Sans CJK SC" w:eastAsia="Noto Sans CJK SC"/>
                  <w:color w:val="3976A8"/>
                  <w:u w:val="single"/>
                  <w:sz w:val="15"/>
                </w:rPr>
                <w:t>Tushare Permissions</w:t>
              </w:r>
            </w:hyperlink>
          </w:p>
        </w:tc>
        <w:tc>
          <w:tcPr>
            <w:tcW w:type="dxa" w:w="4705"/>
            <w:shd w:fill="FFFFFF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keepNext w:val="0"/>
              <w:widowControl/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F6672"/>
                <w:sz w:val="15"/>
              </w:rPr>
              <w:t xml:space="preserve">[R14] </w:t>
            </w:r>
            <w:hyperlink r:id="rId23">
              <w:r>
                <w:rPr>
                  <w:rFonts w:ascii="Noto Sans CJK SC" w:hAnsi="Noto Sans CJK SC" w:eastAsia="Noto Sans CJK SC"/>
                  <w:color w:val="3976A8"/>
                  <w:u w:val="single"/>
                  <w:sz w:val="15"/>
                </w:rPr>
                <w:t>IBKR TWS API</w:t>
              </w:r>
            </w:hyperlink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12"/>
      </w:tblGrid>
      <w:tr>
        <w:tc>
          <w:tcPr>
            <w:tcW w:type="dxa" w:w="198"/>
            <w:shd w:fill="1F6672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9212"/>
            <w:shd w:fill="EAF3F7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40" w:line="283" w:lineRule="auto"/>
            </w:pPr>
            <w:r/>
            <w:r>
              <w:rPr>
                <w:rFonts w:ascii="Noto Sans CJK SC" w:hAnsi="Noto Sans CJK SC" w:eastAsia="Noto Sans CJK SC"/>
                <w:b/>
                <w:color w:val="1F6672"/>
                <w:sz w:val="20"/>
              </w:rPr>
              <w:t>价格与权限需复核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40515D"/>
                <w:sz w:val="19"/>
              </w:rPr>
              <w:t>免费配额、数据权限和使用条款可能随时变化。本项目以 2026 年 7 月 14 日公开信息为起点；正式接入时由 Gate 0 再次核验，并在 registry 中记录核验日期。</w:t>
            </w:r>
          </w:p>
        </w:tc>
      </w:tr>
    </w:tbl>
    <w:p>
      <w:pPr>
        <w:spacing w:after="0"/>
      </w:pPr>
    </w:p>
    <w:p>
      <w:pPr>
        <w:pStyle w:val="Heading1"/>
        <w:pageBreakBefore w:val="0"/>
        <w:pBdr>
          <w:bottom w:val="single" w:sz="7" w:space="5" w:color="2A7F8E"/>
        </w:pBdr>
      </w:pPr>
      <w:r>
        <w:t>立项结论</w:t>
      </w:r>
    </w:p>
    <w:p>
      <w:pPr>
        <w:keepNext w:val="0"/>
        <w:widowControl/>
        <w:spacing w:before="0" w:after="100" w:line="300" w:lineRule="auto"/>
      </w:pPr>
      <w:r>
        <w:rPr>
          <w:rFonts w:ascii="Noto Sans CJK SC" w:hAnsi="Noto Sans CJK SC" w:eastAsia="Noto Sans CJK SC"/>
          <w:color w:val="40515D"/>
        </w:rPr>
        <w:t>项目技术上可行，难度“中等偏上、工程细节重于模型炫技”。免费版能形成有用的个人研究雷达，但必须接受三项边界：资讯覆盖与速度不及机构终端；美股免费成交量不是全市场口径；网页和免费 API 可能变化。</w:t>
      </w:r>
    </w:p>
    <w:p>
      <w:pPr>
        <w:keepNext w:val="0"/>
        <w:widowControl/>
        <w:spacing w:before="0" w:after="100" w:line="300" w:lineRule="auto"/>
      </w:pPr>
      <w:r>
        <w:rPr>
          <w:rFonts w:ascii="Noto Sans CJK SC" w:hAnsi="Noto Sans CJK SC" w:eastAsia="Noto Sans CJK SC"/>
          <w:color w:val="40515D"/>
        </w:rPr>
        <w:t>建议进入 Gate 0：先用 48 小时验证来源，再以 3–4 周完成规则优先的 MVP，并进行两周影子运行。达到可追溯、误报率和计算正确性指标后，才纳入日常交易研究。</w:t>
      </w:r>
    </w:p>
    <w:p>
      <w:pPr>
        <w:keepNext w:val="0"/>
        <w:widowControl/>
        <w:spacing w:before="160" w:after="0" w:line="240" w:lineRule="auto"/>
        <w:jc w:val="center"/>
      </w:pPr>
      <w:r>
        <w:rPr>
          <w:rFonts w:ascii="Noto Sans CJK SC" w:hAnsi="Noto Sans CJK SC" w:eastAsia="Noto Sans CJK SC"/>
          <w:b/>
          <w:color w:val="71808C"/>
          <w:sz w:val="18"/>
        </w:rPr>
        <w:t>— 文档结束 —</w:t>
      </w:r>
    </w:p>
    <w:sectPr w:rsidR="00FC693F" w:rsidRPr="0006063C" w:rsidSect="00034616">
      <w:footerReference w:type="default" r:id="rId9"/>
      <w:pgSz w:w="11906" w:h="16838"/>
      <w:pgMar w:top="1134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/>
        <w:color w:val="71808C"/>
        <w:sz w:val="16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/>
        <w:color w:val="71808C"/>
        <w:sz w:val="16"/>
      </w:rPr>
      <w:t xml:space="preserve"> 页  ·  财经事件雷达 Agent（Free Edition）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307" w:lineRule="auto"/>
    </w:pPr>
    <w:rPr>
      <w:rFonts w:ascii="Noto Sans CJK SC" w:hAnsi="Noto Sans CJK SC" w:eastAsia="Noto Sans CJK SC"/>
      <w:color w:val="40515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8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B56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2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667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4F6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B56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160"/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1F667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sec.gov/about/developer-resources" TargetMode="External"/><Relationship Id="rId11" Type="http://schemas.openxmlformats.org/officeDocument/2006/relationships/hyperlink" Target="https://www.federalreserve.gov/feeds/feeds.htm" TargetMode="External"/><Relationship Id="rId12" Type="http://schemas.openxmlformats.org/officeDocument/2006/relationships/hyperlink" Target="https://www.bls.gov/feed/" TargetMode="External"/><Relationship Id="rId13" Type="http://schemas.openxmlformats.org/officeDocument/2006/relationships/hyperlink" Target="https://www.bea.gov/resources/for-developers" TargetMode="External"/><Relationship Id="rId14" Type="http://schemas.openxmlformats.org/officeDocument/2006/relationships/hyperlink" Target="https://www.gdeltproject.org/data.html" TargetMode="External"/><Relationship Id="rId15" Type="http://schemas.openxmlformats.org/officeDocument/2006/relationships/hyperlink" Target="https://www.marketaux.com/documentation" TargetMode="External"/><Relationship Id="rId16" Type="http://schemas.openxmlformats.org/officeDocument/2006/relationships/hyperlink" Target="https://www.marketaux.com/pricing" TargetMode="External"/><Relationship Id="rId17" Type="http://schemas.openxmlformats.org/officeDocument/2006/relationships/hyperlink" Target="https://docs.alpaca.markets/us/docs/streaming-real-time-news" TargetMode="External"/><Relationship Id="rId18" Type="http://schemas.openxmlformats.org/officeDocument/2006/relationships/hyperlink" Target="https://docs.alpaca.markets/us/docs/historical-news-data" TargetMode="External"/><Relationship Id="rId19" Type="http://schemas.openxmlformats.org/officeDocument/2006/relationships/hyperlink" Target="https://docs.alpaca.markets/us/docs/market-data-faq" TargetMode="External"/><Relationship Id="rId20" Type="http://schemas.openxmlformats.org/officeDocument/2006/relationships/hyperlink" Target="https://developers.binance.com/en/docs/catalog/core-trading-derivatives-trading-usd-s-m-futures/api/ws-streams/public" TargetMode="External"/><Relationship Id="rId21" Type="http://schemas.openxmlformats.org/officeDocument/2006/relationships/hyperlink" Target="https://newsapi.ai/plans" TargetMode="External"/><Relationship Id="rId22" Type="http://schemas.openxmlformats.org/officeDocument/2006/relationships/hyperlink" Target="https://tushare.pro/document/1?doc_id=290" TargetMode="External"/><Relationship Id="rId23" Type="http://schemas.openxmlformats.org/officeDocument/2006/relationships/hyperlink" Target="https://ibkrcampus.com/campus/ibkr-api-page/twsapi-do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财经事件雷达 Agent（Free Edition）项目书</dc:title>
  <dc:subject>基于免费数据源的跨资产新闻聚合、事件分级与市场反应分析系统</dc:subject>
  <dc:creator>项目发起人 / AI 协作整理</dc:creator>
  <cp:keywords>财经新闻, 事件驱动, AI Agent, 免费API, 市场监控, 项目书</cp:keywords>
  <dc:description>V1.0，2026-07-14。研究与监控用途，不构成投资建议。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