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680" w:after="320" w:line="240" w:lineRule="auto"/>
        <w:jc w:val="center"/>
      </w:pPr>
      <w:r>
        <w:rPr>
          <w:rFonts w:ascii="Calibri" w:hAnsi="Calibri" w:eastAsia="Microsoft YaHei"/>
          <w:color w:val="2E74B5"/>
          <w:sz w:val="21"/>
        </w:rPr>
        <w:t>HIGH-DIFFICULTY PROJECT PROPOSAL  ·  V3.0</w:t>
      </w:r>
    </w:p>
    <w:p>
      <w:pPr>
        <w:widowControl/>
        <w:spacing w:before="0" w:after="180" w:line="252" w:lineRule="auto"/>
        <w:jc w:val="center"/>
      </w:pPr>
      <w:r>
        <w:rPr>
          <w:rFonts w:ascii="Calibri" w:hAnsi="Calibri" w:eastAsia="Microsoft YaHei"/>
          <w:b/>
          <w:color w:val="17365D"/>
          <w:sz w:val="44"/>
        </w:rPr>
        <w:t>基于多源证据链与时序真值校验的</w:t>
      </w:r>
    </w:p>
    <w:p>
      <w:pPr>
        <w:widowControl/>
        <w:spacing w:before="0" w:after="200" w:line="252" w:lineRule="auto"/>
        <w:jc w:val="center"/>
      </w:pPr>
      <w:r>
        <w:rPr>
          <w:rFonts w:ascii="Calibri" w:hAnsi="Calibri" w:eastAsia="Microsoft YaHei"/>
          <w:b/>
          <w:color w:val="17365D"/>
          <w:sz w:val="60"/>
        </w:rPr>
        <w:t>金融事件情报 Agent</w:t>
      </w:r>
    </w:p>
    <w:p>
      <w:pPr>
        <w:widowControl/>
        <w:spacing w:before="0" w:after="160" w:line="276" w:lineRule="auto"/>
        <w:jc w:val="center"/>
      </w:pPr>
      <w:r>
        <w:rPr>
          <w:rFonts w:ascii="Calibri" w:hAnsi="Calibri" w:eastAsia="Microsoft YaHei"/>
          <w:color w:val="1F4D78"/>
          <w:sz w:val="27"/>
        </w:rPr>
        <w:t>声明抽取 · 权威证据检索 · 冲突验证 · 时序身份 · 可审计回放</w:t>
      </w:r>
    </w:p>
    <w:p>
      <w:pPr>
        <w:widowControl/>
        <w:spacing w:before="0" w:after="480" w:line="276" w:lineRule="auto"/>
        <w:jc w:val="center"/>
      </w:pPr>
      <w:r>
        <w:rPr>
          <w:rFonts w:ascii="Calibri" w:hAnsi="Calibri" w:eastAsia="Microsoft YaHei"/>
          <w:i/>
          <w:color w:val="667085"/>
          <w:sz w:val="22"/>
        </w:rPr>
        <w:t>自主高难度创新选题申报稿 / 实训交付蓝图</w:t>
      </w:r>
    </w:p>
    <w:tbl>
      <w:tblPr>
        <w:jc w:val="left"/>
        <w:tblLook w:firstColumn="1" w:firstRow="1" w:lastColumn="0" w:lastRow="0" w:noHBand="0" w:noVBand="1" w:val="04A0"/>
        <w:tblW w:w="9360" w:type="dxa"/>
        <w:tblInd w:w="120" w:type="dxa"/>
        <w:tblLayout w:type="fixed"/>
      </w:tblPr>
      <w:tblGrid>
        <w:gridCol w:w="4680"/>
        <w:gridCol w:w="4680"/>
      </w:tblGrid>
      <w:tr>
        <w:trPr>
          <w:trHeight w:hRule="atLeast"/>
          <w:tblHeader w:val="true"/>
        </w:trPr>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40" w:after="40" w:line="264" w:lineRule="auto"/>
              <w:jc w:val="center"/>
            </w:pPr>
            <w:r>
              <w:rPr>
                <w:rFonts w:ascii="Calibri" w:hAnsi="Calibri" w:eastAsia="Microsoft YaHei"/>
                <w:b/>
                <w:color w:val="667085"/>
                <w:sz w:val="17"/>
              </w:rPr>
              <w:t>版本</w:t>
              <w:br/>
            </w:r>
            <w:r>
              <w:rPr>
                <w:rFonts w:ascii="Calibri" w:hAnsi="Calibri" w:eastAsia="Microsoft YaHei"/>
                <w:b/>
                <w:color w:val="17365D"/>
                <w:sz w:val="20"/>
              </w:rPr>
              <w:t>V3.0</w:t>
            </w:r>
          </w:p>
        </w:tc>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40" w:after="40" w:line="264" w:lineRule="auto"/>
              <w:jc w:val="center"/>
            </w:pPr>
            <w:r>
              <w:rPr>
                <w:rFonts w:ascii="Calibri" w:hAnsi="Calibri" w:eastAsia="Microsoft YaHei"/>
                <w:b/>
                <w:color w:val="667085"/>
                <w:sz w:val="17"/>
              </w:rPr>
              <w:t>编制日期</w:t>
              <w:br/>
            </w:r>
            <w:r>
              <w:rPr>
                <w:rFonts w:ascii="Calibri" w:hAnsi="Calibri" w:eastAsia="Microsoft YaHei"/>
                <w:b/>
                <w:color w:val="17365D"/>
                <w:sz w:val="20"/>
              </w:rPr>
              <w:t>2026年7月17日</w:t>
            </w:r>
          </w:p>
        </w:tc>
      </w:tr>
      <w:tr>
        <w:trPr>
          <w:trHeight w:hRule="atLeast"/>
        </w:trPr>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40" w:after="40" w:line="264" w:lineRule="auto"/>
              <w:jc w:val="center"/>
            </w:pPr>
            <w:r>
              <w:rPr>
                <w:rFonts w:ascii="Calibri" w:hAnsi="Calibri" w:eastAsia="Microsoft YaHei"/>
                <w:b/>
                <w:color w:val="667085"/>
                <w:sz w:val="17"/>
              </w:rPr>
              <w:t>当前状态</w:t>
              <w:br/>
            </w:r>
            <w:r>
              <w:rPr>
                <w:rFonts w:ascii="Calibri" w:hAnsi="Calibri" w:eastAsia="Microsoft YaHei"/>
                <w:b/>
                <w:color w:val="17365D"/>
                <w:sz w:val="20"/>
              </w:rPr>
              <w:t>可运行研究原型</w:t>
            </w:r>
          </w:p>
        </w:tc>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40" w:after="40" w:line="264" w:lineRule="auto"/>
              <w:jc w:val="center"/>
            </w:pPr>
            <w:r>
              <w:rPr>
                <w:rFonts w:ascii="Calibri" w:hAnsi="Calibri" w:eastAsia="Microsoft YaHei"/>
                <w:b/>
                <w:color w:val="667085"/>
                <w:sz w:val="17"/>
              </w:rPr>
              <w:t>申报等级</w:t>
              <w:br/>
            </w:r>
            <w:r>
              <w:rPr>
                <w:rFonts w:ascii="Calibri" w:hAnsi="Calibri" w:eastAsia="Microsoft YaHei"/>
                <w:b/>
                <w:color w:val="17365D"/>
                <w:sz w:val="20"/>
              </w:rPr>
              <w:t>竞赛/高难度创新级</w:t>
            </w:r>
          </w:p>
        </w:tc>
      </w:tr>
      <w:tr>
        <w:trPr>
          <w:trHeight w:hRule="atLeast"/>
        </w:trPr>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40" w:after="40" w:line="264" w:lineRule="auto"/>
              <w:jc w:val="center"/>
            </w:pPr>
            <w:r>
              <w:rPr>
                <w:rFonts w:ascii="Calibri" w:hAnsi="Calibri" w:eastAsia="Microsoft YaHei"/>
                <w:b/>
                <w:color w:val="667085"/>
                <w:sz w:val="17"/>
              </w:rPr>
              <w:t>项目边界</w:t>
              <w:br/>
            </w:r>
            <w:r>
              <w:rPr>
                <w:rFonts w:ascii="Calibri" w:hAnsi="Calibri" w:eastAsia="Microsoft YaHei"/>
                <w:b/>
                <w:color w:val="17365D"/>
                <w:sz w:val="20"/>
              </w:rPr>
              <w:t>研究与监控，不构成投资建议</w:t>
            </w:r>
          </w:p>
        </w:tc>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40" w:after="40" w:line="264" w:lineRule="auto"/>
              <w:jc w:val="center"/>
            </w:pPr>
            <w:r>
              <w:rPr>
                <w:rFonts w:ascii="Calibri" w:hAnsi="Calibri" w:eastAsia="Microsoft YaHei"/>
                <w:b/>
                <w:color w:val="667085"/>
                <w:sz w:val="17"/>
              </w:rPr>
              <w:t>交易权限</w:t>
              <w:br/>
            </w:r>
            <w:r>
              <w:rPr>
                <w:rFonts w:ascii="Calibri" w:hAnsi="Calibri" w:eastAsia="Microsoft YaHei"/>
                <w:b/>
                <w:color w:val="17365D"/>
                <w:sz w:val="20"/>
              </w:rPr>
              <w:t>无；行情全部只读</w:t>
            </w:r>
          </w:p>
        </w:tc>
      </w:tr>
    </w:tbl>
    <w:p>
      <w:pPr>
        <w:keepLines w:val="0"/>
        <w:widowControl/>
        <w:spacing w:before="0" w:after="360" w:line="240" w:lineRule="auto"/>
        <w:jc w:val="both"/>
      </w:pPr>
      <w:r>
        <w:rPr>
          <w:rFonts w:ascii="Calibri" w:hAnsi="Calibri" w:eastAsia="Microsoft YaHei"/>
          <w:color w:val="1E293B"/>
          <w:sz w:val="22"/>
        </w:rPr>
      </w:r>
    </w:p>
    <w:p>
      <w:pPr>
        <w:widowControl/>
        <w:spacing w:before="20" w:after="20" w:line="283" w:lineRule="auto"/>
        <w:ind w:left="115" w:right="115"/>
        <w:jc w:val="left"/>
        <w:shd w:fill="EAF2F8"/>
        <w:pBdr>
          <w:left w:val="single" w:sz="22" w:space="8" w:color="2E74B5"/>
        </w:pBdr>
      </w:pPr>
      <w:r>
        <w:rPr>
          <w:rFonts w:ascii="Calibri" w:hAnsi="Calibri" w:eastAsia="Microsoft YaHei"/>
          <w:b/>
          <w:color w:val="2E74B5"/>
          <w:sz w:val="21"/>
        </w:rPr>
        <w:t xml:space="preserve">一句话价值  </w:t>
      </w:r>
      <w:r>
        <w:rPr>
          <w:rFonts w:ascii="Calibri" w:hAnsi="Calibri" w:eastAsia="Microsoft YaHei"/>
          <w:color w:val="1E293B"/>
          <w:sz w:val="21"/>
        </w:rPr>
        <w:t>本项目不预测涨跌，而是证明一条金融消息在什么时间、由哪份一手文件支持、处于哪个法律或业务阶段、影响哪些资产，并在证据不足时明确拒绝下结论。</w:t>
      </w:r>
    </w:p>
    <w:p>
      <w:pPr>
        <w:widowControl/>
        <w:spacing w:before="0" w:after="80" w:line="240" w:lineRule="auto"/>
      </w:pPr>
    </w:p>
    <w:p>
      <w:pPr>
        <w:keepLines w:val="0"/>
        <w:widowControl/>
        <w:spacing w:before="280" w:after="0" w:line="240" w:lineRule="auto"/>
        <w:jc w:val="center"/>
      </w:pPr>
      <w:r>
        <w:rPr>
          <w:rFonts w:ascii="Calibri" w:hAnsi="Calibri" w:eastAsia="Microsoft YaHei"/>
          <w:color w:val="667085"/>
          <w:sz w:val="19"/>
        </w:rPr>
        <w:t>项目严格区分“已实现能力”和“实训期计划能力”，不以计划冒充成品，不以市场波动反向证明消息为真。</w:t>
      </w:r>
    </w:p>
    <w:p>
      <w:r>
        <w:br w:type="page"/>
      </w:r>
    </w:p>
    <w:p>
      <w:pPr>
        <w:pStyle w:val="Heading1"/>
        <w:keepNext/>
        <w:keepLines/>
      </w:pPr>
      <w:r>
        <w:t>执行摘要</w:t>
      </w:r>
    </w:p>
    <w:p>
      <w:pPr>
        <w:keepLines w:val="0"/>
        <w:widowControl/>
        <w:spacing w:before="0" w:after="160" w:line="320" w:lineRule="auto"/>
        <w:jc w:val="both"/>
      </w:pPr>
      <w:r>
        <w:rPr>
          <w:rFonts w:ascii="Calibri" w:hAnsi="Calibri" w:eastAsia="Microsoft YaHei"/>
          <w:color w:val="1E293B"/>
          <w:sz w:val="22"/>
        </w:rPr>
        <w:t>财经新闻的难点不是“看见”，而是“证明”。同一事件会被多次转载、不同来源互相矛盾，证券代码会因重组或退市变化，破产申请、重组计划获批、计划生效和旧普通股注销又是不同法律阶段。普通聚合器往往把文章当作事件，把模型语气当作置信度，最终形成不可复核的结论。</w:t>
      </w:r>
    </w:p>
    <w:p>
      <w:pPr>
        <w:keepLines w:val="0"/>
        <w:widowControl/>
        <w:spacing w:before="0" w:after="160" w:line="320" w:lineRule="auto"/>
        <w:jc w:val="both"/>
      </w:pPr>
      <w:r>
        <w:rPr>
          <w:rFonts w:ascii="Calibri" w:hAnsi="Calibri" w:eastAsia="Microsoft YaHei"/>
          <w:color w:val="1E293B"/>
          <w:sz w:val="22"/>
        </w:rPr>
        <w:t>V3.0把现有财经事件雷达从多源采集与规则研究系统，升级为证据优先的金融事件情报 Agent。Agent将原始文本拆成原子声明，规划需要查找的一手证据，调用SEC、监管机构、公司公告等只读工具，生成声明—证据矩阵，并对每条声明标记支持、反驳或证据不足。最终等级由确定性安全门和人工复核控制，模型不能自动晋升S级。</w:t>
      </w:r>
    </w:p>
    <w:p>
      <w:pPr>
        <w:widowControl/>
        <w:spacing w:before="20" w:after="20" w:line="283" w:lineRule="auto"/>
        <w:ind w:left="115" w:right="115"/>
        <w:jc w:val="left"/>
        <w:shd w:fill="EDF7F0"/>
        <w:pBdr>
          <w:left w:val="single" w:sz="22" w:space="8" w:color="217346"/>
        </w:pBdr>
      </w:pPr>
      <w:r>
        <w:rPr>
          <w:rFonts w:ascii="Calibri" w:hAnsi="Calibri" w:eastAsia="Microsoft YaHei"/>
          <w:b/>
          <w:color w:val="217346"/>
          <w:sz w:val="21"/>
        </w:rPr>
        <w:t xml:space="preserve">申报判断  </w:t>
      </w:r>
      <w:r>
        <w:rPr>
          <w:rFonts w:ascii="Calibri" w:hAnsi="Calibri" w:eastAsia="Microsoft YaHei"/>
          <w:color w:val="1E293B"/>
          <w:sz w:val="21"/>
        </w:rPr>
        <w:t>项目应以自主高难度创新选题申报，而不是作为普通A10“多源新闻聚合Agent”。现有系统已经具备真实数据底座；实训期的核心任务是补齐运行时AI、可视化演示、可复现评测和规范化过程证据。</w:t>
      </w:r>
    </w:p>
    <w:p>
      <w:pPr>
        <w:widowControl/>
        <w:spacing w:before="0" w:after="80" w:line="240" w:lineRule="auto"/>
      </w:pPr>
    </w:p>
    <w:p>
      <w:pPr>
        <w:pStyle w:val="Heading2"/>
        <w:keepNext/>
        <w:keepLines/>
      </w:pPr>
      <w:r>
        <w:t>V3.0的三项决定</w:t>
      </w:r>
    </w:p>
    <w:p>
      <w:pPr>
        <w:widowControl/>
        <w:numPr>
          <w:ilvl w:val="0"/>
          <w:numId w:val="11"/>
        </w:numPr>
        <w:spacing w:before="0" w:after="80" w:line="290" w:lineRule="auto"/>
        <w:jc w:val="left"/>
      </w:pPr>
      <w:r>
        <w:rPr>
          <w:rFonts w:ascii="Calibri" w:hAnsi="Calibri" w:eastAsia="Microsoft YaHei"/>
          <w:color w:val="1E293B"/>
          <w:sz w:val="22"/>
        </w:rPr>
        <w:t>把核心对象从“文章”改为可版本化的Canonical Event，并以声明—证据边表达结论来源。</w:t>
      </w:r>
    </w:p>
    <w:p>
      <w:pPr>
        <w:widowControl/>
        <w:numPr>
          <w:ilvl w:val="0"/>
          <w:numId w:val="11"/>
        </w:numPr>
        <w:spacing w:before="0" w:after="80" w:line="290" w:lineRule="auto"/>
        <w:jc w:val="left"/>
      </w:pPr>
      <w:r>
        <w:rPr>
          <w:rFonts w:ascii="Calibri" w:hAnsi="Calibri" w:eastAsia="Microsoft YaHei"/>
          <w:color w:val="1E293B"/>
          <w:sz w:val="22"/>
        </w:rPr>
        <w:t>使用一个有边界、可恢复的Evidence Agent状态图，不堆砌多个角色Agent，也不添加装饰性聊天框。</w:t>
      </w:r>
    </w:p>
    <w:p>
      <w:pPr>
        <w:widowControl/>
        <w:numPr>
          <w:ilvl w:val="0"/>
          <w:numId w:val="11"/>
        </w:numPr>
        <w:spacing w:before="0" w:after="80" w:line="290" w:lineRule="auto"/>
        <w:jc w:val="left"/>
      </w:pPr>
      <w:r>
        <w:rPr>
          <w:rFonts w:ascii="Calibri" w:hAnsi="Calibri" w:eastAsia="Microsoft YaHei"/>
          <w:color w:val="1E293B"/>
          <w:sz w:val="22"/>
        </w:rPr>
        <w:t>用冻结金标集、拒绝对照、消融实验和轨迹评分证明系统有效，而不是只展示页面和个别成功案例。</w:t>
      </w:r>
    </w:p>
    <w:p>
      <w:pPr>
        <w:pStyle w:val="Heading2"/>
        <w:keepNext/>
        <w:keepLines/>
      </w:pPr>
      <w:r>
        <w:t>当前基线与实训目标</w:t>
      </w:r>
    </w:p>
    <w:tbl>
      <w:tblPr>
        <w:tblStyle w:val="TableGrid"/>
        <w:jc w:val="left"/>
        <w:tblLook w:firstColumn="1" w:firstRow="1" w:lastColumn="0" w:lastRow="0" w:noHBand="0" w:noVBand="1" w:val="04A0"/>
        <w:tblW w:w="9360" w:type="dxa"/>
        <w:tblInd w:w="120" w:type="dxa"/>
        <w:tblLayout w:type="fixed"/>
      </w:tblPr>
      <w:tblGrid>
        <w:gridCol w:w="1260"/>
        <w:gridCol w:w="3000"/>
        <w:gridCol w:w="3600"/>
        <w:gridCol w:w="1500"/>
      </w:tblGrid>
      <w:tr>
        <w:trPr>
          <w:trHeight w:hRule="atLeast"/>
          <w:tblHeader w:val="true"/>
        </w:trPr>
        <w:tc>
          <w:tcPr>
            <w:tcW w:type="dxa" w:w="12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层次</w:t>
            </w:r>
          </w:p>
        </w:tc>
        <w:tc>
          <w:tcPr>
            <w:tcW w:type="dxa" w:w="30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当前事实</w:t>
            </w:r>
          </w:p>
        </w:tc>
        <w:tc>
          <w:tcPr>
            <w:tcW w:type="dxa" w:w="36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V3.0实训目标</w:t>
            </w:r>
          </w:p>
        </w:tc>
        <w:tc>
          <w:tcPr>
            <w:tcW w:type="dxa" w:w="15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状态</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数据底座</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18个注册来源；1,160个规范事件；3,556条原始观测</w:t>
            </w:r>
          </w:p>
        </w:tc>
        <w:tc>
          <w:tcPr>
            <w:tcW w:type="dxa" w:w="36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保持只读采集稳定，新增Agent轨迹与声明表</w:t>
            </w:r>
          </w:p>
        </w:tc>
        <w:tc>
          <w:tcPr>
            <w:tcW w:type="dxa" w:w="1500"/>
            <w:shd w:fill="EDF7F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color w:val="217346"/>
                <w:sz w:val="17"/>
              </w:rPr>
              <w:t>已实现 + 计划增强</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证据与版本</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2,386条证据；2,081个事件版本</w:t>
            </w:r>
          </w:p>
        </w:tc>
        <w:tc>
          <w:tcPr>
            <w:tcW w:type="dxa" w:w="36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重大声明绑定精确证据片段和快照哈希</w:t>
            </w:r>
          </w:p>
        </w:tc>
        <w:tc>
          <w:tcPr>
            <w:tcW w:type="dxa" w:w="1500"/>
            <w:shd w:fill="EDF7F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color w:val="217346"/>
                <w:sz w:val="17"/>
              </w:rPr>
              <w:t>已实现 + 计划增强</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裁决样本</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792个历史裁决：441 verified / 351 rejected</w:t>
            </w:r>
          </w:p>
        </w:tc>
        <w:tc>
          <w:tcPr>
            <w:tcW w:type="dxa" w:w="36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冻结时间切分测试集，建立三方案对照实验</w:t>
            </w:r>
          </w:p>
        </w:tc>
        <w:tc>
          <w:tcPr>
            <w:tcW w:type="dxa" w:w="1500"/>
            <w:shd w:fill="EDF7F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color w:val="217346"/>
                <w:sz w:val="17"/>
              </w:rPr>
              <w:t>已实现 + 计划增强</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AI运行时</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当前主要为规则、检索与人工裁决</w:t>
            </w:r>
          </w:p>
        </w:tc>
        <w:tc>
          <w:tcPr>
            <w:tcW w:type="dxa" w:w="36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声明抽取、检索规划、证据验证与带引用摘要</w:t>
            </w:r>
          </w:p>
        </w:tc>
        <w:tc>
          <w:tcPr>
            <w:tcW w:type="dxa" w:w="1500"/>
            <w:shd w:fill="FFF7E6"/>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color w:val="9A6700"/>
                <w:sz w:val="17"/>
              </w:rPr>
              <w:t>计划实现</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演示层</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报告、命令行和Telegram outbox</w:t>
            </w:r>
          </w:p>
        </w:tc>
        <w:tc>
          <w:tcPr>
            <w:tcW w:type="dxa" w:w="36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只读Streamlit事件工作台与轨迹回放</w:t>
            </w:r>
          </w:p>
        </w:tc>
        <w:tc>
          <w:tcPr>
            <w:tcW w:type="dxa" w:w="1500"/>
            <w:shd w:fill="FFF7E6"/>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color w:val="9A6700"/>
                <w:sz w:val="17"/>
              </w:rPr>
              <w:t>计划实现</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工程过程</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232项测试通过；审计PASS</w:t>
            </w:r>
          </w:p>
        </w:tc>
        <w:tc>
          <w:tcPr>
            <w:tcW w:type="dxa" w:w="36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有效Git、3个Sprint、.agent文档、核心覆盖率≥80%</w:t>
            </w:r>
          </w:p>
        </w:tc>
        <w:tc>
          <w:tcPr>
            <w:tcW w:type="dxa" w:w="1500"/>
            <w:shd w:fill="FFF7E6"/>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color w:val="9A6700"/>
                <w:sz w:val="17"/>
              </w:rPr>
              <w:t>计划补齐</w:t>
            </w:r>
          </w:p>
        </w:tc>
      </w:tr>
    </w:tbl>
    <w:p>
      <w:pPr>
        <w:widowControl/>
        <w:spacing w:before="0" w:after="40" w:line="240" w:lineRule="auto"/>
      </w:pPr>
    </w:p>
    <w:p>
      <w:r>
        <w:br w:type="page"/>
      </w:r>
    </w:p>
    <w:p>
      <w:pPr>
        <w:pStyle w:val="Heading1"/>
        <w:keepNext/>
        <w:keepLines/>
      </w:pPr>
      <w:r>
        <w:t>1. 项目定位与差异化</w:t>
      </w:r>
    </w:p>
    <w:p>
      <w:pPr>
        <w:pStyle w:val="Heading2"/>
        <w:keepNext/>
        <w:keepLines/>
      </w:pPr>
      <w:r>
        <w:t>1.1 问题定义</w:t>
      </w:r>
    </w:p>
    <w:p>
      <w:pPr>
        <w:keepLines w:val="0"/>
        <w:widowControl/>
        <w:spacing w:before="0" w:after="160" w:line="320" w:lineRule="auto"/>
        <w:jc w:val="both"/>
      </w:pPr>
      <w:r>
        <w:rPr>
          <w:rFonts w:ascii="Calibri" w:hAnsi="Calibri" w:eastAsia="Microsoft YaHei"/>
          <w:color w:val="1E293B"/>
          <w:sz w:val="22"/>
        </w:rPr>
        <w:t>目标用户是需要快速研究美股、ETF、宏观、商品、外汇和主要加密资产事件的个人研究者。用户真正需要的不是更多标题，而是一个可以回答五个问题的系统：发生了什么、涉及谁、证据在哪里、来源是否冲突、当前为什么能或不能确认。</w:t>
      </w:r>
    </w:p>
    <w:p>
      <w:pPr>
        <w:keepLines w:val="0"/>
        <w:widowControl/>
        <w:spacing w:before="0" w:after="160" w:line="320" w:lineRule="auto"/>
        <w:jc w:val="both"/>
      </w:pPr>
      <w:r>
        <w:rPr>
          <w:rFonts w:ascii="Calibri" w:hAnsi="Calibri" w:eastAsia="Microsoft YaHei"/>
          <w:color w:val="1E293B"/>
          <w:sz w:val="22"/>
        </w:rPr>
        <w:t>项目选择“可信事件形成”作为核心研究问题：在多源、冲突、时序变化的金融信息环境中，如何让Agent的每一个重大结论都可证明、可质疑、可回放，并在证据不足时可靠地拒绝下结论。</w:t>
      </w:r>
    </w:p>
    <w:p>
      <w:pPr>
        <w:pStyle w:val="Heading2"/>
        <w:keepNext/>
        <w:keepLines/>
      </w:pPr>
      <w:r>
        <w:t>1.2 与标准A10项目的本质区别</w:t>
      </w:r>
    </w:p>
    <w:tbl>
      <w:tblPr>
        <w:tblStyle w:val="TableGrid"/>
        <w:jc w:val="left"/>
        <w:tblLook w:firstColumn="1" w:firstRow="1" w:lastColumn="0" w:lastRow="0" w:noHBand="0" w:noVBand="1" w:val="04A0"/>
        <w:tblW w:w="9360" w:type="dxa"/>
        <w:tblInd w:w="120" w:type="dxa"/>
        <w:tblLayout w:type="fixed"/>
      </w:tblPr>
      <w:tblGrid>
        <w:gridCol w:w="1380"/>
        <w:gridCol w:w="3340"/>
        <w:gridCol w:w="4640"/>
      </w:tblGrid>
      <w:tr>
        <w:trPr>
          <w:trHeight w:hRule="atLeast"/>
          <w:tblHeader w:val="true"/>
        </w:trPr>
        <w:tc>
          <w:tcPr>
            <w:tcW w:type="dxa" w:w="13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维度</w:t>
            </w:r>
          </w:p>
        </w:tc>
        <w:tc>
          <w:tcPr>
            <w:tcW w:type="dxa" w:w="334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标准多源新闻聚合Agent</w:t>
            </w:r>
          </w:p>
        </w:tc>
        <w:tc>
          <w:tcPr>
            <w:tcW w:type="dxa" w:w="464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财经事件雷达V3.0</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处理对象</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新闻文章与摘要</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跨来源、跨阶段、可版本化的金融事件</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AI角色</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分类、摘要、推荐、追问</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原子声明抽取、证据研究规划、冲突验证、带引用摘要</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可信依据</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模型输出或新闻数量</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权威来源、来源独立组、精确证据片段、确定性安全门</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时间语义</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通常使用文章发布时间</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事件发生时点、来源发布时间、接收时间、确认时间分离</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资产语义</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文章级统一情绪</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事件事实与逐资产影响分离，允许不同资产方向相反</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评价方式</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摘要质量与用户体验</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事实精度、引用完整率、拒绝对照误报、身份准确率、轨迹合规</w:t>
            </w:r>
          </w:p>
        </w:tc>
      </w:tr>
      <w:tr>
        <w:trPr>
          <w:trHeight w:hRule="atLeast"/>
        </w:trPr>
        <w:tc>
          <w:tcPr>
            <w:tcW w:type="dxa" w:w="13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安全边界</w:t>
            </w:r>
          </w:p>
        </w:tc>
        <w:tc>
          <w:tcPr>
            <w:tcW w:type="dxa" w:w="33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通常未定义</w:t>
            </w:r>
          </w:p>
        </w:tc>
        <w:tc>
          <w:tcPr>
            <w:tcW w:type="dxa" w:w="46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无交易工具；行情仅事后审计；证据不足即拒绝</w:t>
            </w:r>
          </w:p>
        </w:tc>
      </w:tr>
    </w:tbl>
    <w:p>
      <w:pPr>
        <w:widowControl/>
        <w:spacing w:before="0" w:after="40" w:line="240" w:lineRule="auto"/>
      </w:pPr>
    </w:p>
    <w:p>
      <w:pPr>
        <w:pStyle w:val="Heading2"/>
        <w:keepNext/>
        <w:keepLines/>
      </w:pPr>
      <w:r>
        <w:t>1.3 核心创新</w:t>
      </w:r>
    </w:p>
    <w:p>
      <w:pPr>
        <w:widowControl/>
        <w:numPr>
          <w:ilvl w:val="0"/>
          <w:numId w:val="10"/>
        </w:numPr>
        <w:spacing w:before="0" w:after="80" w:line="290" w:lineRule="auto"/>
        <w:jc w:val="left"/>
      </w:pPr>
      <w:r>
        <w:rPr>
          <w:rFonts w:ascii="Calibri" w:hAnsi="Calibri" w:eastAsia="Microsoft YaHei"/>
          <w:color w:val="1E293B"/>
          <w:sz w:val="22"/>
        </w:rPr>
        <w:t>从“新闻摘要”升级为“声明—证据—结论”：每条重大结论必须能定位到支持或反驳它的原文片段。</w:t>
      </w:r>
    </w:p>
    <w:p>
      <w:pPr>
        <w:widowControl/>
        <w:numPr>
          <w:ilvl w:val="0"/>
          <w:numId w:val="10"/>
        </w:numPr>
        <w:spacing w:before="0" w:after="80" w:line="290" w:lineRule="auto"/>
        <w:jc w:val="left"/>
      </w:pPr>
      <w:r>
        <w:rPr>
          <w:rFonts w:ascii="Calibri" w:hAnsi="Calibri" w:eastAsia="Microsoft YaHei"/>
          <w:color w:val="1E293B"/>
          <w:sz w:val="22"/>
        </w:rPr>
        <w:t>发现源与证明源分离：Telegram、X和聚合器负责发现，SEC、法院、监管机构和发行人原文负责确认。</w:t>
      </w:r>
    </w:p>
    <w:p>
      <w:pPr>
        <w:widowControl/>
        <w:numPr>
          <w:ilvl w:val="0"/>
          <w:numId w:val="10"/>
        </w:numPr>
        <w:spacing w:before="0" w:after="80" w:line="290" w:lineRule="auto"/>
        <w:jc w:val="left"/>
      </w:pPr>
      <w:r>
        <w:rPr>
          <w:rFonts w:ascii="Calibri" w:hAnsi="Calibri" w:eastAsia="Microsoft YaHei"/>
          <w:color w:val="1E293B"/>
          <w:sz w:val="22"/>
        </w:rPr>
        <w:t>时点证券身份解析：在事件发生时识别当时的公司、证券、交易场所和代码，避免把后来的Q后缀或新证券身份倒灌到过去。</w:t>
      </w:r>
    </w:p>
    <w:p>
      <w:pPr>
        <w:widowControl/>
        <w:numPr>
          <w:ilvl w:val="0"/>
          <w:numId w:val="10"/>
        </w:numPr>
        <w:spacing w:before="0" w:after="80" w:line="290" w:lineRule="auto"/>
        <w:jc w:val="left"/>
      </w:pPr>
      <w:r>
        <w:rPr>
          <w:rFonts w:ascii="Calibri" w:hAnsi="Calibri" w:eastAsia="Microsoft YaHei"/>
          <w:color w:val="1E293B"/>
          <w:sz w:val="22"/>
        </w:rPr>
        <w:t>显式表示INSUFFICIENT：证据不足是一个可解释的正式结果，而不是模型失败或被迫猜测。</w:t>
      </w:r>
    </w:p>
    <w:p>
      <w:pPr>
        <w:widowControl/>
        <w:numPr>
          <w:ilvl w:val="0"/>
          <w:numId w:val="10"/>
        </w:numPr>
        <w:spacing w:before="0" w:after="80" w:line="290" w:lineRule="auto"/>
        <w:jc w:val="left"/>
      </w:pPr>
      <w:r>
        <w:rPr>
          <w:rFonts w:ascii="Calibri" w:hAnsi="Calibri" w:eastAsia="Microsoft YaHei"/>
          <w:color w:val="1E293B"/>
          <w:sz w:val="22"/>
        </w:rPr>
        <w:t>评测驱动的研究闭环：把人工纠错、拒绝对照和失败轨迹回灌成冻结数据集与回归测试。</w:t>
      </w:r>
    </w:p>
    <w:p>
      <w:pPr>
        <w:pStyle w:val="Heading1"/>
        <w:keepNext/>
        <w:keepLines/>
      </w:pPr>
      <w:r>
        <w:t>2. 现有基础与真实性证据</w:t>
      </w:r>
    </w:p>
    <w:p>
      <w:pPr>
        <w:pStyle w:val="Heading2"/>
        <w:keepNext/>
        <w:keepLines/>
      </w:pPr>
      <w:r>
        <w:t>2.1 已经运行的底座</w:t>
      </w:r>
    </w:p>
    <w:tbl>
      <w:tblPr>
        <w:tblStyle w:val="TableGrid"/>
        <w:jc w:val="left"/>
        <w:tblLook w:firstColumn="1" w:firstRow="1" w:lastColumn="0" w:lastRow="0" w:noHBand="0" w:noVBand="1" w:val="04A0"/>
        <w:tblW w:w="9360" w:type="dxa"/>
        <w:tblInd w:w="120" w:type="dxa"/>
        <w:tblLayout w:type="fixed"/>
      </w:tblPr>
      <w:tblGrid>
        <w:gridCol w:w="1700"/>
        <w:gridCol w:w="2200"/>
        <w:gridCol w:w="5460"/>
      </w:tblGrid>
      <w:tr>
        <w:trPr>
          <w:trHeight w:hRule="atLeast"/>
          <w:tblHeader w:val="true"/>
        </w:trPr>
        <w:tc>
          <w:tcPr>
            <w:tcW w:type="dxa" w:w="17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证据</w:t>
            </w:r>
          </w:p>
        </w:tc>
        <w:tc>
          <w:tcPr>
            <w:tcW w:type="dxa" w:w="22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当前值</w:t>
            </w:r>
          </w:p>
        </w:tc>
        <w:tc>
          <w:tcPr>
            <w:tcW w:type="dxa" w:w="54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说明</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数据库</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SQLite Schema 12</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原始观测、事件、版本、证据、任务、行情与审计对象分离</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来源</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18个注册来源</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包含Fed、BLS、SEC、CFTC、FDA、FTC、FDIC、OpenNews及只读行情</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数据规模</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1,160事件 / 3,556原始观测</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不是空原型，已形成可回放样本</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证据规模</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2,386证据 / 2,081版本</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支持事件随官方材料变化而更新</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人工裁决</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441验证 / 351拒绝</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拒绝样本用于度量误报，不作为无用数据删除</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测试</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232项通过</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覆盖事件发现、SEC证据、裁决、事件链、只读行情和通知幂等</w:t>
            </w:r>
          </w:p>
        </w:tc>
      </w:tr>
      <w:tr>
        <w:trPr>
          <w:trHeight w:hRule="atLeast"/>
        </w:trPr>
        <w:tc>
          <w:tcPr>
            <w:tcW w:type="dxa" w:w="1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安全审计</w:t>
            </w:r>
          </w:p>
        </w:tc>
        <w:tc>
          <w:tcPr>
            <w:tcW w:type="dxa" w:w="2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PASS；19类违规计数为0</w:t>
            </w:r>
          </w:p>
        </w:tc>
        <w:tc>
          <w:tcPr>
            <w:tcW w:type="dxa" w:w="54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无交易、无自动晋级、候选与确认隔离</w:t>
            </w:r>
          </w:p>
        </w:tc>
      </w:tr>
    </w:tbl>
    <w:p>
      <w:pPr>
        <w:widowControl/>
        <w:spacing w:before="0" w:after="40" w:line="240" w:lineRule="auto"/>
      </w:pPr>
    </w:p>
    <w:p>
      <w:pPr>
        <w:widowControl/>
        <w:spacing w:before="20" w:after="20" w:line="283" w:lineRule="auto"/>
        <w:ind w:left="115" w:right="115"/>
        <w:jc w:val="left"/>
        <w:shd w:fill="FFF7E6"/>
        <w:pBdr>
          <w:left w:val="single" w:sz="22" w:space="8" w:color="9A6700"/>
        </w:pBdr>
      </w:pPr>
      <w:r>
        <w:rPr>
          <w:rFonts w:ascii="Calibri" w:hAnsi="Calibri" w:eastAsia="Microsoft YaHei"/>
          <w:b/>
          <w:color w:val="9A6700"/>
          <w:sz w:val="21"/>
        </w:rPr>
        <w:t xml:space="preserve">真实性声明  </w:t>
      </w:r>
      <w:r>
        <w:rPr>
          <w:rFonts w:ascii="Calibri" w:hAnsi="Calibri" w:eastAsia="Microsoft YaHei"/>
          <w:color w:val="1E293B"/>
          <w:sz w:val="21"/>
        </w:rPr>
        <w:t>以上数字来自2026年7月16日至17日的本地数据库、审计报告和测试复跑。运行时AI、可视化Dashboard、覆盖率报告和有效Git过程尚未完成，均在本文中明确标记为计划目标。</w:t>
      </w:r>
    </w:p>
    <w:p>
      <w:pPr>
        <w:widowControl/>
        <w:spacing w:before="0" w:after="80" w:line="240" w:lineRule="auto"/>
      </w:pPr>
    </w:p>
    <w:p>
      <w:pPr>
        <w:pStyle w:val="Heading2"/>
        <w:keepNext/>
        <w:keepLines/>
      </w:pPr>
      <w:r>
        <w:t>2.2 已证明有价值的困难案例</w:t>
      </w:r>
    </w:p>
    <w:p>
      <w:pPr>
        <w:keepLines w:val="0"/>
        <w:widowControl/>
        <w:spacing w:before="0" w:after="160" w:line="320" w:lineRule="auto"/>
        <w:jc w:val="both"/>
      </w:pPr>
      <w:r>
        <w:rPr>
          <w:rFonts w:ascii="Calibri" w:hAnsi="Calibri" w:eastAsia="Microsoft YaHei"/>
          <w:color w:val="1E293B"/>
          <w:sz w:val="22"/>
        </w:rPr>
        <w:t>项目最有说服力的不是数据量，而是对“看起来相似、法律结果不同”的案例进行区分。NINEQ初始8-K只描述拟注销旧股，直到103天后的10-Q证明计划已生效、旧普通股无对价注销，事件才允许从A++进入S。WOLF2则证明旧股被取消但持有人获得新股恢复时不能升S。</w:t>
      </w:r>
    </w:p>
    <w:p>
      <w:pPr>
        <w:keepLines w:val="0"/>
        <w:widowControl/>
        <w:spacing w:before="0" w:after="160" w:line="320" w:lineRule="auto"/>
        <w:jc w:val="both"/>
      </w:pPr>
      <w:r>
        <w:rPr>
          <w:rFonts w:ascii="Calibri" w:hAnsi="Calibri" w:eastAsia="Microsoft YaHei"/>
          <w:color w:val="1E293B"/>
          <w:sz w:val="22"/>
        </w:rPr>
        <w:t>这组正反案例展示了三项不可由普通新闻摘要替代的能力：法律阶段识别、事件时间版本化、旧证券与新证券的身份连续性判断。答辩时将使用同一界面回放两个案例，让评委看到系统不仅会“确认”，还会正确地“拒绝确认”。</w:t>
      </w:r>
    </w:p>
    <w:p>
      <w:r>
        <w:br w:type="page"/>
      </w:r>
    </w:p>
    <w:p>
      <w:pPr>
        <w:pStyle w:val="Heading1"/>
        <w:keepNext/>
        <w:keepLines/>
      </w:pPr>
      <w:r>
        <w:t>3. V3.0总体架构</w:t>
      </w:r>
    </w:p>
    <w:p>
      <w:pPr>
        <w:widowControl/>
        <w:spacing w:before="40" w:after="80" w:line="240" w:lineRule="auto"/>
        <w:jc w:val="center"/>
      </w:pPr>
      <w:r>
        <w:drawing>
          <wp:inline xmlns:a="http://schemas.openxmlformats.org/drawingml/2006/main" xmlns:pic="http://schemas.openxmlformats.org/drawingml/2006/picture">
            <wp:extent cx="5897880" cy="3407664"/>
            <wp:docPr id="1" name="Picture 1" descr="图1  证据驱动、时序感知、可审计的金融事件情报Agent架构" title="财经事件雷达V3.0总体架构"/>
            <wp:cNvGraphicFramePr>
              <a:graphicFrameLocks noChangeAspect="1"/>
            </wp:cNvGraphicFramePr>
            <a:graphic>
              <a:graphicData uri="http://schemas.openxmlformats.org/drawingml/2006/picture">
                <pic:pic>
                  <pic:nvPicPr>
                    <pic:cNvPr id="0" name="finance_radar_v3_architecture.png"/>
                    <pic:cNvPicPr/>
                  </pic:nvPicPr>
                  <pic:blipFill>
                    <a:blip r:embed="rId11"/>
                    <a:stretch>
                      <a:fillRect/>
                    </a:stretch>
                  </pic:blipFill>
                  <pic:spPr>
                    <a:xfrm>
                      <a:off x="0" y="0"/>
                      <a:ext cx="5897880" cy="3407664"/>
                    </a:xfrm>
                    <a:prstGeom prst="rect"/>
                  </pic:spPr>
                </pic:pic>
              </a:graphicData>
            </a:graphic>
          </wp:inline>
        </w:drawing>
      </w:r>
    </w:p>
    <w:p>
      <w:pPr>
        <w:widowControl/>
        <w:spacing w:before="0" w:after="200" w:line="240" w:lineRule="auto"/>
        <w:jc w:val="center"/>
      </w:pPr>
      <w:r>
        <w:rPr>
          <w:rFonts w:ascii="Calibri" w:hAnsi="Calibri" w:eastAsia="Microsoft YaHei"/>
          <w:i/>
          <w:color w:val="667085"/>
          <w:sz w:val="18"/>
        </w:rPr>
        <w:t>图1  证据驱动、时序感知、可审计的金融事件情报Agent架构</w:t>
      </w:r>
    </w:p>
    <w:p>
      <w:pPr>
        <w:pStyle w:val="Heading2"/>
        <w:keepNext/>
        <w:keepLines/>
      </w:pPr>
      <w:r>
        <w:t>3.1 数据面与控制面</w:t>
      </w:r>
    </w:p>
    <w:tbl>
      <w:tblPr>
        <w:tblStyle w:val="TableGrid"/>
        <w:jc w:val="left"/>
        <w:tblLook w:firstColumn="1" w:firstRow="1" w:lastColumn="0" w:lastRow="0" w:noHBand="0" w:noVBand="1" w:val="04A0"/>
        <w:tblW w:w="9360" w:type="dxa"/>
        <w:tblInd w:w="120" w:type="dxa"/>
        <w:tblLayout w:type="fixed"/>
      </w:tblPr>
      <w:tblGrid>
        <w:gridCol w:w="1260"/>
        <w:gridCol w:w="2800"/>
        <w:gridCol w:w="2860"/>
        <w:gridCol w:w="2440"/>
      </w:tblGrid>
      <w:tr>
        <w:trPr>
          <w:trHeight w:hRule="atLeast"/>
          <w:tblHeader w:val="true"/>
        </w:trPr>
        <w:tc>
          <w:tcPr>
            <w:tcW w:type="dxa" w:w="12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平面</w:t>
            </w:r>
          </w:p>
        </w:tc>
        <w:tc>
          <w:tcPr>
            <w:tcW w:type="dxa" w:w="28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职责</w:t>
            </w:r>
          </w:p>
        </w:tc>
        <w:tc>
          <w:tcPr>
            <w:tcW w:type="dxa" w:w="28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关键对象</w:t>
            </w:r>
          </w:p>
        </w:tc>
        <w:tc>
          <w:tcPr>
            <w:tcW w:type="dxa" w:w="244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故障策略</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数据面</w:t>
            </w:r>
          </w:p>
        </w:tc>
        <w:tc>
          <w:tcPr>
            <w:tcW w:type="dxa" w:w="2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采集、声明抽取、证据检索、验证、事件版本与输出</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RawObservation、EventClaim、EvidenceEdge、CanonicalEvent</w:t>
            </w:r>
          </w:p>
        </w:tc>
        <w:tc>
          <w:tcPr>
            <w:tcW w:type="dxa" w:w="24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先落盘、幂等重试、失败不丢原文</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控制面</w:t>
            </w:r>
          </w:p>
        </w:tc>
        <w:tc>
          <w:tcPr>
            <w:tcW w:type="dxa" w:w="2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来源配置、配额、模型/提示词版本、轨迹、人工中断与回放</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SourceRegistry、AgentDecision、Trace、ReviewTask</w:t>
            </w:r>
          </w:p>
        </w:tc>
        <w:tc>
          <w:tcPr>
            <w:tcW w:type="dxa" w:w="24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检查点恢复、预算上限、人工接管</w:t>
            </w:r>
          </w:p>
        </w:tc>
      </w:tr>
      <w:tr>
        <w:trPr>
          <w:trHeight w:hRule="atLeast"/>
        </w:trPr>
        <w:tc>
          <w:tcPr>
            <w:tcW w:type="dxa" w:w="1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审计面</w:t>
            </w:r>
          </w:p>
        </w:tc>
        <w:tc>
          <w:tcPr>
            <w:tcW w:type="dxa" w:w="2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离线金标评测、线上失败监测、回归与消融</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GoldSet、EvalRun、GuardrailResult</w:t>
            </w:r>
          </w:p>
        </w:tc>
        <w:tc>
          <w:tcPr>
            <w:tcW w:type="dxa" w:w="24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失败样本只追加，不静默覆盖</w:t>
            </w:r>
          </w:p>
        </w:tc>
      </w:tr>
    </w:tbl>
    <w:p>
      <w:pPr>
        <w:widowControl/>
        <w:spacing w:before="0" w:after="40" w:line="240" w:lineRule="auto"/>
      </w:pPr>
    </w:p>
    <w:p>
      <w:pPr>
        <w:pStyle w:val="Heading2"/>
        <w:keepNext/>
        <w:keepLines/>
      </w:pPr>
      <w:r>
        <w:t>3.2 单Agent状态图</w:t>
      </w:r>
    </w:p>
    <w:p>
      <w:pPr>
        <w:keepLines w:val="0"/>
        <w:widowControl/>
        <w:spacing w:before="0" w:after="160" w:line="320" w:lineRule="auto"/>
        <w:jc w:val="both"/>
      </w:pPr>
      <w:r>
        <w:rPr>
          <w:rFonts w:ascii="Calibri" w:hAnsi="Calibri" w:eastAsia="Microsoft YaHei"/>
          <w:color w:val="1E293B"/>
          <w:sz w:val="22"/>
        </w:rPr>
        <w:t>系统采用一个有界Evidence Agent，而不是多角色对话。LangGraph只负责显式状态、条件路由、检查点和人工中断；每个节点只完成一件事，输入输出均可审计。</w:t>
      </w:r>
    </w:p>
    <w:p>
      <w:pPr>
        <w:widowControl/>
        <w:numPr>
          <w:ilvl w:val="0"/>
          <w:numId w:val="10"/>
        </w:numPr>
        <w:spacing w:before="0" w:after="80" w:line="290" w:lineRule="auto"/>
        <w:jc w:val="left"/>
      </w:pPr>
      <w:r>
        <w:rPr>
          <w:rFonts w:ascii="Calibri" w:hAnsi="Calibri" w:eastAsia="Microsoft YaHei"/>
          <w:color w:val="1E293B"/>
          <w:sz w:val="22"/>
        </w:rPr>
        <w:t>DISCOVERED：发现源进入，尚不代表事件真实。</w:t>
      </w:r>
    </w:p>
    <w:p>
      <w:pPr>
        <w:widowControl/>
        <w:numPr>
          <w:ilvl w:val="0"/>
          <w:numId w:val="10"/>
        </w:numPr>
        <w:spacing w:before="0" w:after="80" w:line="290" w:lineRule="auto"/>
        <w:jc w:val="left"/>
      </w:pPr>
      <w:r>
        <w:rPr>
          <w:rFonts w:ascii="Calibri" w:hAnsi="Calibri" w:eastAsia="Microsoft YaHei"/>
          <w:color w:val="1E293B"/>
          <w:sz w:val="22"/>
        </w:rPr>
        <w:t>EXTRACTED：已得到结构化原子声明。</w:t>
      </w:r>
    </w:p>
    <w:p>
      <w:pPr>
        <w:widowControl/>
        <w:numPr>
          <w:ilvl w:val="0"/>
          <w:numId w:val="10"/>
        </w:numPr>
        <w:spacing w:before="0" w:after="80" w:line="290" w:lineRule="auto"/>
        <w:jc w:val="left"/>
      </w:pPr>
      <w:r>
        <w:rPr>
          <w:rFonts w:ascii="Calibri" w:hAnsi="Calibri" w:eastAsia="Microsoft YaHei"/>
          <w:color w:val="1E293B"/>
          <w:sz w:val="22"/>
        </w:rPr>
        <w:t>NEEDS_EVIDENCE：Agent生成官方检索计划并调用白名单工具。</w:t>
      </w:r>
    </w:p>
    <w:p>
      <w:pPr>
        <w:widowControl/>
        <w:numPr>
          <w:ilvl w:val="0"/>
          <w:numId w:val="10"/>
        </w:numPr>
        <w:spacing w:before="0" w:after="80" w:line="290" w:lineRule="auto"/>
        <w:jc w:val="left"/>
      </w:pPr>
      <w:r>
        <w:rPr>
          <w:rFonts w:ascii="Calibri" w:hAnsi="Calibri" w:eastAsia="Microsoft YaHei"/>
          <w:color w:val="1E293B"/>
          <w:sz w:val="22"/>
        </w:rPr>
        <w:t>SUPPORTED / CONTRADICTED / INSUFFICIENT：逐声明形成证据关系。</w:t>
      </w:r>
    </w:p>
    <w:p>
      <w:pPr>
        <w:widowControl/>
        <w:numPr>
          <w:ilvl w:val="0"/>
          <w:numId w:val="10"/>
        </w:numPr>
        <w:spacing w:before="0" w:after="80" w:line="290" w:lineRule="auto"/>
        <w:jc w:val="left"/>
      </w:pPr>
      <w:r>
        <w:rPr>
          <w:rFonts w:ascii="Calibri" w:hAnsi="Calibri" w:eastAsia="Microsoft YaHei"/>
          <w:color w:val="1E293B"/>
          <w:sz w:val="22"/>
        </w:rPr>
        <w:t>HUMAN_REVIEW：达到重大性阈值或存在冲突时暂停等待人工复核。</w:t>
      </w:r>
    </w:p>
    <w:p>
      <w:pPr>
        <w:widowControl/>
        <w:numPr>
          <w:ilvl w:val="0"/>
          <w:numId w:val="10"/>
        </w:numPr>
        <w:spacing w:before="0" w:after="80" w:line="290" w:lineRule="auto"/>
        <w:jc w:val="left"/>
      </w:pPr>
      <w:r>
        <w:rPr>
          <w:rFonts w:ascii="Calibri" w:hAnsi="Calibri" w:eastAsia="Microsoft YaHei"/>
          <w:color w:val="1E293B"/>
          <w:sz w:val="22"/>
        </w:rPr>
        <w:t>PUBLISHED：通过确定性安全门后发布事件卡；后续证据生成新版本。</w:t>
      </w:r>
    </w:p>
    <w:p>
      <w:pPr>
        <w:pStyle w:val="Heading2"/>
        <w:keepNext/>
        <w:keepLines/>
      </w:pPr>
      <w:r>
        <w:t>3.3 模型与代码的职责边界</w:t>
      </w:r>
    </w:p>
    <w:tbl>
      <w:tblPr>
        <w:tblStyle w:val="TableGrid"/>
        <w:jc w:val="left"/>
        <w:tblLook w:firstColumn="1" w:firstRow="1" w:lastColumn="0" w:lastRow="0" w:noHBand="0" w:noVBand="1" w:val="04A0"/>
        <w:tblW w:w="9360" w:type="dxa"/>
        <w:tblInd w:w="120" w:type="dxa"/>
        <w:tblLayout w:type="fixed"/>
      </w:tblPr>
      <w:tblGrid>
        <w:gridCol w:w="1320"/>
        <w:gridCol w:w="2740"/>
        <w:gridCol w:w="3220"/>
        <w:gridCol w:w="2080"/>
      </w:tblGrid>
      <w:tr>
        <w:trPr>
          <w:trHeight w:hRule="atLeast"/>
          <w:tblHeader w:val="true"/>
        </w:trPr>
        <w:tc>
          <w:tcPr>
            <w:tcW w:type="dxa" w:w="132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能力</w:t>
            </w:r>
          </w:p>
        </w:tc>
        <w:tc>
          <w:tcPr>
            <w:tcW w:type="dxa" w:w="274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LLM/语义模型</w:t>
            </w:r>
          </w:p>
        </w:tc>
        <w:tc>
          <w:tcPr>
            <w:tcW w:type="dxa" w:w="322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确定性代码</w:t>
            </w:r>
          </w:p>
        </w:tc>
        <w:tc>
          <w:tcPr>
            <w:tcW w:type="dxa" w:w="20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人工</w:t>
            </w:r>
          </w:p>
        </w:tc>
      </w:tr>
      <w:tr>
        <w:trPr>
          <w:trHeight w:hRule="atLeast"/>
        </w:trPr>
        <w:tc>
          <w:tcPr>
            <w:tcW w:type="dxa" w:w="13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声明抽取</w:t>
            </w:r>
          </w:p>
        </w:tc>
        <w:tc>
          <w:tcPr>
            <w:tcW w:type="dxa" w:w="27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生成结构化候选声明</w:t>
            </w:r>
          </w:p>
        </w:tc>
        <w:tc>
          <w:tcPr>
            <w:tcW w:type="dxa" w:w="32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JSON Schema验证、字段范围检查</w:t>
            </w:r>
          </w:p>
        </w:tc>
        <w:tc>
          <w:tcPr>
            <w:tcW w:type="dxa" w:w="20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抽样纠错</w:t>
            </w:r>
          </w:p>
        </w:tc>
      </w:tr>
      <w:tr>
        <w:trPr>
          <w:trHeight w:hRule="atLeast"/>
        </w:trPr>
        <w:tc>
          <w:tcPr>
            <w:tcW w:type="dxa" w:w="13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证据检索</w:t>
            </w:r>
          </w:p>
        </w:tc>
        <w:tc>
          <w:tcPr>
            <w:tcW w:type="dxa" w:w="27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规划查询、语义重排</w:t>
            </w:r>
          </w:p>
        </w:tc>
        <w:tc>
          <w:tcPr>
            <w:tcW w:type="dxa" w:w="32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域名白名单、限流、缓存、循环预算</w:t>
            </w:r>
          </w:p>
        </w:tc>
        <w:tc>
          <w:tcPr>
            <w:tcW w:type="dxa" w:w="20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补充特殊来源</w:t>
            </w:r>
          </w:p>
        </w:tc>
      </w:tr>
      <w:tr>
        <w:trPr>
          <w:trHeight w:hRule="atLeast"/>
        </w:trPr>
        <w:tc>
          <w:tcPr>
            <w:tcW w:type="dxa" w:w="13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证据判断</w:t>
            </w:r>
          </w:p>
        </w:tc>
        <w:tc>
          <w:tcPr>
            <w:tcW w:type="dxa" w:w="27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提出支持/反驳/不足</w:t>
            </w:r>
          </w:p>
        </w:tc>
        <w:tc>
          <w:tcPr>
            <w:tcW w:type="dxa" w:w="32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时间、数字、身份、最终性规则复核</w:t>
            </w:r>
          </w:p>
        </w:tc>
        <w:tc>
          <w:tcPr>
            <w:tcW w:type="dxa" w:w="20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重大结论审批</w:t>
            </w:r>
          </w:p>
        </w:tc>
      </w:tr>
      <w:tr>
        <w:trPr>
          <w:trHeight w:hRule="atLeast"/>
        </w:trPr>
        <w:tc>
          <w:tcPr>
            <w:tcW w:type="dxa" w:w="13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摘要</w:t>
            </w:r>
          </w:p>
        </w:tc>
        <w:tc>
          <w:tcPr>
            <w:tcW w:type="dxa" w:w="27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生成带引用的人读说明</w:t>
            </w:r>
          </w:p>
        </w:tc>
        <w:tc>
          <w:tcPr>
            <w:tcW w:type="dxa" w:w="32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引用覆盖、禁止无来源声明</w:t>
            </w:r>
          </w:p>
        </w:tc>
        <w:tc>
          <w:tcPr>
            <w:tcW w:type="dxa" w:w="20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必要时编辑</w:t>
            </w:r>
          </w:p>
        </w:tc>
      </w:tr>
      <w:tr>
        <w:trPr>
          <w:trHeight w:hRule="atLeast"/>
        </w:trPr>
        <w:tc>
          <w:tcPr>
            <w:tcW w:type="dxa" w:w="13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等级</w:t>
            </w:r>
          </w:p>
        </w:tc>
        <w:tc>
          <w:tcPr>
            <w:tcW w:type="dxa" w:w="274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只能提出建议</w:t>
            </w:r>
          </w:p>
        </w:tc>
        <w:tc>
          <w:tcPr>
            <w:tcW w:type="dxa" w:w="32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最终安全门；禁止自动S；无交易路径</w:t>
            </w:r>
          </w:p>
        </w:tc>
        <w:tc>
          <w:tcPr>
            <w:tcW w:type="dxa" w:w="20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最终裁决与覆盖记录</w:t>
            </w:r>
          </w:p>
        </w:tc>
      </w:tr>
    </w:tbl>
    <w:p>
      <w:pPr>
        <w:widowControl/>
        <w:spacing w:before="0" w:after="40" w:line="240" w:lineRule="auto"/>
      </w:pPr>
    </w:p>
    <w:p>
      <w:pPr>
        <w:pStyle w:val="Heading1"/>
        <w:keepNext/>
        <w:keepLines/>
      </w:pPr>
      <w:r>
        <w:t>4. Evidence Agent核心设计</w:t>
      </w:r>
    </w:p>
    <w:p>
      <w:pPr>
        <w:pStyle w:val="Heading2"/>
        <w:keepNext/>
        <w:keepLines/>
      </w:pPr>
      <w:r>
        <w:t>4.1 三个模型节点</w:t>
      </w:r>
    </w:p>
    <w:p>
      <w:pPr>
        <w:widowControl/>
        <w:numPr>
          <w:ilvl w:val="0"/>
          <w:numId w:val="11"/>
        </w:numPr>
        <w:spacing w:before="0" w:after="80" w:line="290" w:lineRule="auto"/>
        <w:jc w:val="left"/>
      </w:pPr>
      <w:r>
        <w:rPr>
          <w:rFonts w:ascii="Calibri" w:hAnsi="Calibri" w:eastAsia="Microsoft YaHei"/>
          <w:color w:val="1E293B"/>
          <w:sz w:val="22"/>
        </w:rPr>
        <w:t>声明抽取器：把文本拆成主体、动作、对象、时间、金额、事件类型、重大性和不确定原因；输出EventClaim。</w:t>
      </w:r>
    </w:p>
    <w:p>
      <w:pPr>
        <w:widowControl/>
        <w:numPr>
          <w:ilvl w:val="0"/>
          <w:numId w:val="11"/>
        </w:numPr>
        <w:spacing w:before="0" w:after="80" w:line="290" w:lineRule="auto"/>
        <w:jc w:val="left"/>
      </w:pPr>
      <w:r>
        <w:rPr>
          <w:rFonts w:ascii="Calibri" w:hAnsi="Calibri" w:eastAsia="Microsoft YaHei"/>
          <w:color w:val="1E293B"/>
          <w:sz w:val="22"/>
        </w:rPr>
        <w:t>证据研究规划器：根据事件类型决定应查SEC表单、监管公告、法院文件还是公司IR，并生成最多三轮的有预算查询。</w:t>
      </w:r>
    </w:p>
    <w:p>
      <w:pPr>
        <w:widowControl/>
        <w:numPr>
          <w:ilvl w:val="0"/>
          <w:numId w:val="11"/>
        </w:numPr>
        <w:spacing w:before="0" w:after="80" w:line="290" w:lineRule="auto"/>
        <w:jc w:val="left"/>
      </w:pPr>
      <w:r>
        <w:rPr>
          <w:rFonts w:ascii="Calibri" w:hAnsi="Calibri" w:eastAsia="Microsoft YaHei"/>
          <w:color w:val="1E293B"/>
          <w:sz w:val="22"/>
        </w:rPr>
        <w:t>证据验证与摘要器：逐条标记supports、contradicts或contextual，生成附精确引用的结论，并解释尚缺什么证据。</w:t>
      </w:r>
    </w:p>
    <w:p>
      <w:pPr>
        <w:pStyle w:val="Heading2"/>
        <w:keepNext/>
        <w:keepLines/>
      </w:pPr>
      <w:r>
        <w:t>4.2 严格结构化输出</w:t>
      </w:r>
    </w:p>
    <w:tbl>
      <w:tblPr>
        <w:tblStyle w:val="TableGrid"/>
        <w:jc w:val="left"/>
        <w:tblLook w:firstColumn="1" w:firstRow="1" w:lastColumn="0" w:lastRow="0" w:noHBand="0" w:noVBand="1" w:val="04A0"/>
        <w:tblW w:w="9360" w:type="dxa"/>
        <w:tblInd w:w="120" w:type="dxa"/>
        <w:tblLayout w:type="fixed"/>
      </w:tblPr>
      <w:tblGrid>
        <w:gridCol w:w="1560"/>
        <w:gridCol w:w="4680"/>
        <w:gridCol w:w="3120"/>
      </w:tblGrid>
      <w:tr>
        <w:trPr>
          <w:trHeight w:hRule="atLeast"/>
          <w:tblHeader w:val="true"/>
        </w:trPr>
        <w:tc>
          <w:tcPr>
            <w:tcW w:type="dxa" w:w="15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对象</w:t>
            </w:r>
          </w:p>
        </w:tc>
        <w:tc>
          <w:tcPr>
            <w:tcW w:type="dxa" w:w="46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核心字段</w:t>
            </w:r>
          </w:p>
        </w:tc>
        <w:tc>
          <w:tcPr>
            <w:tcW w:type="dxa" w:w="312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用途</w:t>
            </w:r>
          </w:p>
        </w:tc>
      </w:tr>
      <w:tr>
        <w:trPr>
          <w:trHeight w:hRule="atLeast"/>
        </w:trPr>
        <w:tc>
          <w:tcPr>
            <w:tcW w:type="dxa" w:w="1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EventClaim</w:t>
            </w:r>
          </w:p>
        </w:tc>
        <w:tc>
          <w:tcPr>
            <w:tcW w:type="dxa" w:w="46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claim_id、subject、predicate、object、event_type、event_time、instrument_identity_at_event、status</w:t>
            </w:r>
          </w:p>
        </w:tc>
        <w:tc>
          <w:tcPr>
            <w:tcW w:type="dxa" w:w="31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把自然语言拆成可逐条核验的原子声明</w:t>
            </w:r>
          </w:p>
        </w:tc>
      </w:tr>
      <w:tr>
        <w:trPr>
          <w:trHeight w:hRule="atLeast"/>
        </w:trPr>
        <w:tc>
          <w:tcPr>
            <w:tcW w:type="dxa" w:w="1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EvidenceEdge</w:t>
            </w:r>
          </w:p>
        </w:tc>
        <w:tc>
          <w:tcPr>
            <w:tcW w:type="dxa" w:w="46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source_url、snapshot_hash、authority_tier、exact_excerpt、offset、relation、claim_id</w:t>
            </w:r>
          </w:p>
        </w:tc>
        <w:tc>
          <w:tcPr>
            <w:tcW w:type="dxa" w:w="31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证明具体哪段材料支持或反驳哪条声明</w:t>
            </w:r>
          </w:p>
        </w:tc>
      </w:tr>
      <w:tr>
        <w:trPr>
          <w:trHeight w:hRule="atLeast"/>
        </w:trPr>
        <w:tc>
          <w:tcPr>
            <w:tcW w:type="dxa" w:w="1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AgentDecision</w:t>
            </w:r>
          </w:p>
        </w:tc>
        <w:tc>
          <w:tcPr>
            <w:tcW w:type="dxa" w:w="46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trace_id、model_snapshot、prompt_version、tool_calls、evidence_ids、guardrails、latency、human_override</w:t>
            </w:r>
          </w:p>
        </w:tc>
        <w:tc>
          <w:tcPr>
            <w:tcW w:type="dxa" w:w="312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实现模型、工具、提示词与人工覆盖的完整回放</w:t>
            </w:r>
          </w:p>
        </w:tc>
      </w:tr>
    </w:tbl>
    <w:p>
      <w:pPr>
        <w:widowControl/>
        <w:spacing w:before="0" w:after="40" w:line="240" w:lineRule="auto"/>
      </w:pPr>
    </w:p>
    <w:p>
      <w:pPr>
        <w:widowControl/>
        <w:spacing w:before="20" w:after="20" w:line="283" w:lineRule="auto"/>
        <w:ind w:left="115" w:right="115"/>
        <w:jc w:val="left"/>
        <w:shd w:fill="FDECEC"/>
        <w:pBdr>
          <w:left w:val="single" w:sz="22" w:space="8" w:color="9B1C1C"/>
        </w:pBdr>
      </w:pPr>
      <w:r>
        <w:rPr>
          <w:rFonts w:ascii="Calibri" w:hAnsi="Calibri" w:eastAsia="Microsoft YaHei"/>
          <w:b/>
          <w:color w:val="9B1C1C"/>
          <w:sz w:val="21"/>
        </w:rPr>
        <w:t xml:space="preserve">Fail closed  </w:t>
      </w:r>
      <w:r>
        <w:rPr>
          <w:rFonts w:ascii="Calibri" w:hAnsi="Calibri" w:eastAsia="Microsoft YaHei"/>
          <w:color w:val="1E293B"/>
          <w:sz w:val="21"/>
        </w:rPr>
        <w:t>模型输出不符合Schema、来源中断、查询预算耗尽、存在未解决冲突或缺少最终性文件时，系统必须进入INSUFFICIENT或HUMAN_REVIEW，不能猜测性发布。</w:t>
      </w:r>
    </w:p>
    <w:p>
      <w:pPr>
        <w:widowControl/>
        <w:spacing w:before="0" w:after="80" w:line="240" w:lineRule="auto"/>
      </w:pPr>
    </w:p>
    <w:p>
      <w:pPr>
        <w:pStyle w:val="Heading2"/>
        <w:keepNext/>
        <w:keepLines/>
      </w:pPr>
      <w:r>
        <w:t>4.3 两级证据检索</w:t>
      </w:r>
    </w:p>
    <w:p>
      <w:pPr>
        <w:keepLines w:val="0"/>
        <w:widowControl/>
        <w:spacing w:before="0" w:after="160" w:line="320" w:lineRule="auto"/>
        <w:jc w:val="both"/>
      </w:pPr>
      <w:r>
        <w:rPr>
          <w:rFonts w:ascii="Calibri" w:hAnsi="Calibri" w:eastAsia="Microsoft YaHei"/>
          <w:color w:val="1E293B"/>
          <w:sz w:val="22"/>
        </w:rPr>
        <w:t>第一阶段使用CIK、证券代码、公司名、事件类型、时间窗口、表单类型和BM25等高召回条件搜索；第二阶段使用语义模型对候选证据重排，并检查段落是否含有可支持声明的具体事实。搜索结果摘要不能直接作为证明，只有原始页面或文件中的精确片段可以形成EvidenceEdge。</w:t>
      </w:r>
    </w:p>
    <w:p>
      <w:pPr>
        <w:keepLines w:val="0"/>
        <w:widowControl/>
        <w:spacing w:before="0" w:after="160" w:line="320" w:lineRule="auto"/>
        <w:jc w:val="both"/>
      </w:pPr>
      <w:r>
        <w:rPr>
          <w:rFonts w:ascii="Calibri" w:hAnsi="Calibri" w:eastAsia="Microsoft YaHei"/>
          <w:color w:val="1E293B"/>
          <w:sz w:val="22"/>
        </w:rPr>
        <w:t>对SEC自动访问设置可识别User-Agent、每秒不超过10次的总限流、ETag/Last-Modified缓存、指数退避与熔断。对新闻、Telegram和网页内容一律视为不可信输入，清除脚本和隐藏文本，并阻止其成为高优先级提示词或改变工具权限。</w:t>
      </w:r>
    </w:p>
    <w:p>
      <w:r>
        <w:br w:type="page"/>
      </w:r>
    </w:p>
    <w:p>
      <w:pPr>
        <w:pStyle w:val="Heading1"/>
        <w:keepNext/>
        <w:keepLines/>
      </w:pPr>
      <w:r>
        <w:t>5. AI禁飞区与学生亲手实现</w:t>
      </w:r>
    </w:p>
    <w:p>
      <w:pPr>
        <w:keepLines w:val="0"/>
        <w:widowControl/>
        <w:spacing w:before="0" w:after="160" w:line="320" w:lineRule="auto"/>
        <w:jc w:val="both"/>
      </w:pPr>
      <w:r>
        <w:rPr>
          <w:rFonts w:ascii="Calibri" w:hAnsi="Calibri" w:eastAsia="Microsoft YaHei"/>
          <w:color w:val="1E293B"/>
          <w:sz w:val="22"/>
        </w:rPr>
        <w:t>为满足课程“每个项目3个核心功能必须手写并逐行解释”的要求，以下模块被定义为AI禁飞区。AI可以提供原理资料和测试想法，但不得直接生成最终实现；提交前保留设计草稿、手写代码记录、单元测试和代码走查提纲。</w:t>
      </w:r>
    </w:p>
    <w:tbl>
      <w:tblPr>
        <w:tblStyle w:val="TableGrid"/>
        <w:jc w:val="left"/>
        <w:tblLook w:firstColumn="1" w:firstRow="1" w:lastColumn="0" w:lastRow="0" w:noHBand="0" w:noVBand="1" w:val="04A0"/>
        <w:tblW w:w="9360" w:type="dxa"/>
        <w:tblInd w:w="120" w:type="dxa"/>
        <w:tblLayout w:type="fixed"/>
      </w:tblPr>
      <w:tblGrid>
        <w:gridCol w:w="1450"/>
        <w:gridCol w:w="3650"/>
        <w:gridCol w:w="2900"/>
        <w:gridCol w:w="1360"/>
      </w:tblGrid>
      <w:tr>
        <w:trPr>
          <w:trHeight w:hRule="atLeast"/>
          <w:tblHeader w:val="true"/>
        </w:trPr>
        <w:tc>
          <w:tcPr>
            <w:tcW w:type="dxa" w:w="14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禁飞区</w:t>
            </w:r>
          </w:p>
        </w:tc>
        <w:tc>
          <w:tcPr>
            <w:tcW w:type="dxa" w:w="36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学生必须实现的核心</w:t>
            </w:r>
          </w:p>
        </w:tc>
        <w:tc>
          <w:tcPr>
            <w:tcW w:type="dxa" w:w="29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现场可验证方式</w:t>
            </w:r>
          </w:p>
        </w:tc>
        <w:tc>
          <w:tcPr>
            <w:tcW w:type="dxa" w:w="13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失败后果</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FZ-1 Agent循环与事件聚类</w:t>
            </w:r>
          </w:p>
        </w:tc>
        <w:tc>
          <w:tcPr>
            <w:tcW w:type="dxa" w:w="3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状态路由、事件指纹、同源修订、跨来源合并、事件链primary/consequence边界</w:t>
            </w:r>
          </w:p>
        </w:tc>
        <w:tc>
          <w:tcPr>
            <w:tcW w:type="dxa" w:w="2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注入重复标题、同日不同事件和跨家族后果，现场解释路由</w:t>
            </w:r>
          </w:p>
        </w:tc>
        <w:tc>
          <w:tcPr>
            <w:tcW w:type="dxa" w:w="1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重复爆炸或错误合并</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FZ-2 证据检索与忠实度校验</w:t>
            </w:r>
          </w:p>
        </w:tc>
        <w:tc>
          <w:tcPr>
            <w:tcW w:type="dxa" w:w="3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查询规划预算、精确片段绑定、声明支持率、引用完整率、矛盾检测</w:t>
            </w:r>
          </w:p>
        </w:tc>
        <w:tc>
          <w:tcPr>
            <w:tcW w:type="dxa" w:w="2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删去关键证据或加入反驳证据，观察结论降级</w:t>
            </w:r>
          </w:p>
        </w:tc>
        <w:tc>
          <w:tcPr>
            <w:tcW w:type="dxa" w:w="1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模型摘要无依据</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FZ-3 时序身份与最终评级安全门</w:t>
            </w:r>
          </w:p>
        </w:tc>
        <w:tc>
          <w:tcPr>
            <w:tcW w:type="dxa" w:w="3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事件时点证券身份、法律阶段、来源等级、禁止自动S、无交易工具</w:t>
            </w:r>
          </w:p>
        </w:tc>
        <w:tc>
          <w:tcPr>
            <w:tcW w:type="dxa" w:w="2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把破产申请与计划生效混淆，或把新证券身份倒灌到旧事件</w:t>
            </w:r>
          </w:p>
        </w:tc>
        <w:tc>
          <w:tcPr>
            <w:tcW w:type="dxa" w:w="1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高风险错误确认</w:t>
            </w:r>
          </w:p>
        </w:tc>
      </w:tr>
    </w:tbl>
    <w:p>
      <w:pPr>
        <w:widowControl/>
        <w:spacing w:before="0" w:after="40" w:line="240" w:lineRule="auto"/>
      </w:pPr>
    </w:p>
    <w:p>
      <w:pPr>
        <w:pStyle w:val="Heading2"/>
        <w:keepNext/>
        <w:keepLines/>
      </w:pPr>
      <w:r>
        <w:t>5.1 需要真正理解的核心循环</w:t>
      </w:r>
    </w:p>
    <w:p>
      <w:pPr>
        <w:widowControl/>
        <w:spacing w:before="20" w:after="20" w:line="283" w:lineRule="auto"/>
        <w:ind w:left="115" w:right="115"/>
        <w:jc w:val="left"/>
        <w:shd w:fill="EAF2F8"/>
        <w:pBdr>
          <w:left w:val="single" w:sz="22" w:space="8" w:color="2E74B5"/>
        </w:pBdr>
      </w:pPr>
      <w:r>
        <w:rPr>
          <w:rFonts w:ascii="Calibri" w:hAnsi="Calibri" w:eastAsia="Microsoft YaHei"/>
          <w:b/>
          <w:color w:val="2E74B5"/>
          <w:sz w:val="21"/>
        </w:rPr>
        <w:t xml:space="preserve">伪代码边界  </w:t>
      </w:r>
      <w:r>
        <w:rPr>
          <w:rFonts w:ascii="Calibri" w:hAnsi="Calibri" w:eastAsia="Microsoft YaHei"/>
          <w:color w:val="1E293B"/>
          <w:sz w:val="21"/>
        </w:rPr>
        <w:t>persist raw → extract claims → resolve event-time identity → search primary evidence → build claim-evidence matrix → deterministic checks → interrupt for human review → publish version。每一步都必须幂等、可回放，且在任何失败点都不能绕过安全门。</w:t>
      </w:r>
    </w:p>
    <w:p>
      <w:pPr>
        <w:widowControl/>
        <w:spacing w:before="0" w:after="80" w:line="240" w:lineRule="auto"/>
      </w:pPr>
    </w:p>
    <w:p>
      <w:pPr>
        <w:pStyle w:val="Heading2"/>
        <w:keepNext/>
        <w:keepLines/>
      </w:pPr>
      <w:r>
        <w:t>5.2 Bug注入与即兴修改准备</w:t>
      </w:r>
    </w:p>
    <w:tbl>
      <w:tblPr>
        <w:tblStyle w:val="TableGrid"/>
        <w:jc w:val="left"/>
        <w:tblLook w:firstColumn="1" w:firstRow="1" w:lastColumn="0" w:lastRow="0" w:noHBand="0" w:noVBand="1" w:val="04A0"/>
        <w:tblW w:w="9360" w:type="dxa"/>
        <w:tblInd w:w="120" w:type="dxa"/>
        <w:tblLayout w:type="fixed"/>
      </w:tblPr>
      <w:tblGrid>
        <w:gridCol w:w="1500"/>
        <w:gridCol w:w="4300"/>
        <w:gridCol w:w="3560"/>
      </w:tblGrid>
      <w:tr>
        <w:trPr>
          <w:trHeight w:hRule="atLeast"/>
          <w:tblHeader w:val="true"/>
        </w:trPr>
        <w:tc>
          <w:tcPr>
            <w:tcW w:type="dxa" w:w="15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考核场景</w:t>
            </w:r>
          </w:p>
        </w:tc>
        <w:tc>
          <w:tcPr>
            <w:tcW w:type="dxa" w:w="43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预置问题</w:t>
            </w:r>
          </w:p>
        </w:tc>
        <w:tc>
          <w:tcPr>
            <w:tcW w:type="dxa" w:w="35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30分钟目标</w:t>
            </w:r>
          </w:p>
        </w:tc>
      </w:tr>
      <w:tr>
        <w:trPr>
          <w:trHeight w:hRule="atLeast"/>
        </w:trPr>
        <w:tc>
          <w:tcPr>
            <w:tcW w:type="dxa" w:w="1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Bug注入1</w:t>
            </w:r>
          </w:p>
        </w:tc>
        <w:tc>
          <w:tcPr>
            <w:tcW w:type="dxa" w:w="43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同一来源编辑稿被误判成独立确认源</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修复independence_group并补回归测试</w:t>
            </w:r>
          </w:p>
        </w:tc>
      </w:tr>
      <w:tr>
        <w:trPr>
          <w:trHeight w:hRule="atLeast"/>
        </w:trPr>
        <w:tc>
          <w:tcPr>
            <w:tcW w:type="dxa" w:w="1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Bug注入2</w:t>
            </w:r>
          </w:p>
        </w:tc>
        <w:tc>
          <w:tcPr>
            <w:tcW w:type="dxa" w:w="43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SEC时间字段时区错误导致事件版本乱序</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修复时间归一化并解释t0选择</w:t>
            </w:r>
          </w:p>
        </w:tc>
      </w:tr>
      <w:tr>
        <w:trPr>
          <w:trHeight w:hRule="atLeast"/>
        </w:trPr>
        <w:tc>
          <w:tcPr>
            <w:tcW w:type="dxa" w:w="1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Bug注入3</w:t>
            </w:r>
          </w:p>
        </w:tc>
        <w:tc>
          <w:tcPr>
            <w:tcW w:type="dxa" w:w="43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模型把反驳片段当成支持片段</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修复关系验证并展示降级到HUMAN_REVIEW</w:t>
            </w:r>
          </w:p>
        </w:tc>
      </w:tr>
      <w:tr>
        <w:trPr>
          <w:trHeight w:hRule="atLeast"/>
        </w:trPr>
        <w:tc>
          <w:tcPr>
            <w:tcW w:type="dxa" w:w="1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即兴修改</w:t>
            </w:r>
          </w:p>
        </w:tc>
        <w:tc>
          <w:tcPr>
            <w:tcW w:type="dxa" w:w="43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新增“只显示缺失证据”的审核筛选器</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修改查询/API/UI并通过测试</w:t>
            </w:r>
          </w:p>
        </w:tc>
      </w:tr>
    </w:tbl>
    <w:p>
      <w:pPr>
        <w:widowControl/>
        <w:spacing w:before="0" w:after="40" w:line="240" w:lineRule="auto"/>
      </w:pPr>
    </w:p>
    <w:p>
      <w:pPr>
        <w:pStyle w:val="Heading1"/>
        <w:keepNext/>
        <w:keepLines/>
      </w:pPr>
      <w:r>
        <w:t>6. 数据模型、来源治理与安全边界</w:t>
      </w:r>
    </w:p>
    <w:p>
      <w:pPr>
        <w:pStyle w:val="Heading2"/>
        <w:keepNext/>
        <w:keepLines/>
      </w:pPr>
      <w:r>
        <w:t>6.1 来源等级与独立性</w:t>
      </w:r>
    </w:p>
    <w:tbl>
      <w:tblPr>
        <w:tblStyle w:val="TableGrid"/>
        <w:jc w:val="left"/>
        <w:tblLook w:firstColumn="1" w:firstRow="1" w:lastColumn="0" w:lastRow="0" w:noHBand="0" w:noVBand="1" w:val="04A0"/>
        <w:tblW w:w="9360" w:type="dxa"/>
        <w:tblInd w:w="120" w:type="dxa"/>
        <w:tblLayout w:type="fixed"/>
      </w:tblPr>
      <w:tblGrid>
        <w:gridCol w:w="900"/>
        <w:gridCol w:w="2700"/>
        <w:gridCol w:w="2880"/>
        <w:gridCol w:w="2880"/>
      </w:tblGrid>
      <w:tr>
        <w:trPr>
          <w:trHeight w:hRule="atLeast"/>
          <w:tblHeader w:val="true"/>
        </w:trPr>
        <w:tc>
          <w:tcPr>
            <w:tcW w:type="dxa" w:w="9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等级</w:t>
            </w:r>
          </w:p>
        </w:tc>
        <w:tc>
          <w:tcPr>
            <w:tcW w:type="dxa" w:w="27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来源</w:t>
            </w:r>
          </w:p>
        </w:tc>
        <w:tc>
          <w:tcPr>
            <w:tcW w:type="dxa" w:w="28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允许作用</w:t>
            </w:r>
          </w:p>
        </w:tc>
        <w:tc>
          <w:tcPr>
            <w:tcW w:type="dxa" w:w="288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禁止作用</w:t>
            </w:r>
          </w:p>
        </w:tc>
      </w:tr>
      <w:tr>
        <w:trPr>
          <w:trHeight w:hRule="atLeast"/>
        </w:trPr>
        <w:tc>
          <w:tcPr>
            <w:tcW w:type="dxa" w:w="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P0</w:t>
            </w:r>
          </w:p>
        </w:tc>
        <w:tc>
          <w:tcPr>
            <w:tcW w:type="dxa" w:w="2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监管、法院、统计机构、交易所正式文件</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确认文件明确陈述的事实</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超出原文推断责任、因果或收益</w:t>
            </w:r>
          </w:p>
        </w:tc>
      </w:tr>
      <w:tr>
        <w:trPr>
          <w:trHeight w:hRule="atLeast"/>
        </w:trPr>
        <w:tc>
          <w:tcPr>
            <w:tcW w:type="dxa" w:w="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P1</w:t>
            </w:r>
          </w:p>
        </w:tc>
        <w:tc>
          <w:tcPr>
            <w:tcW w:type="dxa" w:w="2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公司IR、正式新闻稿、官方讲话</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确认主体自身声明</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替代监管或法院的最终认定</w:t>
            </w:r>
          </w:p>
        </w:tc>
      </w:tr>
      <w:tr>
        <w:trPr>
          <w:trHeight w:hRule="atLeast"/>
        </w:trPr>
        <w:tc>
          <w:tcPr>
            <w:tcW w:type="dxa" w:w="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P2</w:t>
            </w:r>
          </w:p>
        </w:tc>
        <w:tc>
          <w:tcPr>
            <w:tcW w:type="dxa" w:w="2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信誉媒体、OpenNews等聚合API</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发现、上下文、候选事件</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单独确认重大事件</w:t>
            </w:r>
          </w:p>
        </w:tc>
      </w:tr>
      <w:tr>
        <w:trPr>
          <w:trHeight w:hRule="atLeast"/>
        </w:trPr>
        <w:tc>
          <w:tcPr>
            <w:tcW w:type="dxa" w:w="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P3</w:t>
            </w:r>
          </w:p>
        </w:tc>
        <w:tc>
          <w:tcPr>
            <w:tcW w:type="dxa" w:w="2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社交帖子、匿名爆料、二次转述</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产生线索</w:t>
            </w:r>
          </w:p>
        </w:tc>
        <w:tc>
          <w:tcPr>
            <w:tcW w:type="dxa" w:w="288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主动标记S/A已确认</w:t>
            </w:r>
          </w:p>
        </w:tc>
      </w:tr>
    </w:tbl>
    <w:p>
      <w:pPr>
        <w:widowControl/>
        <w:spacing w:before="0" w:after="40" w:line="240" w:lineRule="auto"/>
      </w:pPr>
    </w:p>
    <w:p>
      <w:pPr>
        <w:keepLines w:val="0"/>
        <w:widowControl/>
        <w:spacing w:before="0" w:after="160" w:line="320" w:lineRule="auto"/>
        <w:jc w:val="both"/>
      </w:pPr>
      <w:r>
        <w:rPr>
          <w:rFonts w:ascii="Calibri" w:hAnsi="Calibri" w:eastAsia="Microsoft YaHei"/>
          <w:color w:val="1E293B"/>
          <w:sz w:val="22"/>
        </w:rPr>
        <w:t>同一Reuters原文的媒体转载、X转发和聚合器记录只能属于一个independence_group，不能被计算为三个独立确认源。原始正文默认不长期全文分发，只保存必要片段、哈希、元数据和原始链接。</w:t>
      </w:r>
    </w:p>
    <w:p>
      <w:pPr>
        <w:pStyle w:val="Heading2"/>
        <w:keepNext/>
        <w:keepLines/>
      </w:pPr>
      <w:r>
        <w:t>6.2 事件事实、资产影响与市场观察分离</w:t>
      </w:r>
    </w:p>
    <w:tbl>
      <w:tblPr>
        <w:tblStyle w:val="TableGrid"/>
        <w:jc w:val="left"/>
        <w:tblLook w:firstColumn="1" w:firstRow="1" w:lastColumn="0" w:lastRow="0" w:noHBand="0" w:noVBand="1" w:val="04A0"/>
        <w:tblW w:w="9360" w:type="dxa"/>
        <w:tblInd w:w="120" w:type="dxa"/>
        <w:tblLayout w:type="fixed"/>
      </w:tblPr>
      <w:tblGrid>
        <w:gridCol w:w="1900"/>
        <w:gridCol w:w="3900"/>
        <w:gridCol w:w="3560"/>
      </w:tblGrid>
      <w:tr>
        <w:trPr>
          <w:trHeight w:hRule="atLeast"/>
          <w:tblHeader w:val="true"/>
        </w:trPr>
        <w:tc>
          <w:tcPr>
            <w:tcW w:type="dxa" w:w="19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对象</w:t>
            </w:r>
          </w:p>
        </w:tc>
        <w:tc>
          <w:tcPr>
            <w:tcW w:type="dxa" w:w="39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回答的问题</w:t>
            </w:r>
          </w:p>
        </w:tc>
        <w:tc>
          <w:tcPr>
            <w:tcW w:type="dxa" w:w="35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不能替代什么</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Canonical Event</w:t>
            </w:r>
          </w:p>
        </w:tc>
        <w:tc>
          <w:tcPr>
            <w:tcW w:type="dxa" w:w="3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发生了什么、处于什么阶段、是否已被证据支持</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不能直接给出投资建议</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Asset Impact</w:t>
            </w:r>
          </w:p>
        </w:tc>
        <w:tc>
          <w:tcPr>
            <w:tcW w:type="dxa" w:w="3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事件与某个具体资产的关系、方向候选、窗口和不确定性</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不能决定事件事实真假</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Market Observation</w:t>
            </w:r>
          </w:p>
        </w:tc>
        <w:tc>
          <w:tcPr>
            <w:tcW w:type="dxa" w:w="3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1/5/15/60分钟及收盘后的价格、异常收益和成交量</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不能反向证明新闻为真</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Provider Assessment</w:t>
            </w:r>
          </w:p>
        </w:tc>
        <w:tc>
          <w:tcPr>
            <w:tcW w:type="dxa" w:w="3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外部聚合器或模型给出的分数与摘要</w:t>
            </w:r>
          </w:p>
        </w:tc>
        <w:tc>
          <w:tcPr>
            <w:tcW w:type="dxa" w:w="3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不能覆盖本地证据裁决</w:t>
            </w:r>
          </w:p>
        </w:tc>
      </w:tr>
    </w:tbl>
    <w:p>
      <w:pPr>
        <w:widowControl/>
        <w:spacing w:before="0" w:after="40" w:line="240" w:lineRule="auto"/>
      </w:pPr>
    </w:p>
    <w:p>
      <w:pPr>
        <w:pStyle w:val="Heading2"/>
        <w:keepNext/>
        <w:keepLines/>
      </w:pPr>
      <w:r>
        <w:t>6.3 不可逾越的安全边界</w:t>
      </w:r>
    </w:p>
    <w:p>
      <w:pPr>
        <w:widowControl/>
        <w:numPr>
          <w:ilvl w:val="0"/>
          <w:numId w:val="10"/>
        </w:numPr>
        <w:spacing w:before="0" w:after="80" w:line="290" w:lineRule="auto"/>
        <w:jc w:val="left"/>
      </w:pPr>
      <w:r>
        <w:rPr>
          <w:rFonts w:ascii="Calibri" w:hAnsi="Calibri" w:eastAsia="Microsoft YaHei"/>
          <w:color w:val="1E293B"/>
          <w:sz w:val="22"/>
        </w:rPr>
        <w:t>系统没有下单、撤单、持仓、账户和资金工具；IBKR仅只读，Binance服务器只调用公共行情端点。</w:t>
      </w:r>
    </w:p>
    <w:p>
      <w:pPr>
        <w:widowControl/>
        <w:numPr>
          <w:ilvl w:val="0"/>
          <w:numId w:val="10"/>
        </w:numPr>
        <w:spacing w:before="0" w:after="80" w:line="290" w:lineRule="auto"/>
        <w:jc w:val="left"/>
      </w:pPr>
      <w:r>
        <w:rPr>
          <w:rFonts w:ascii="Calibri" w:hAnsi="Calibri" w:eastAsia="Microsoft YaHei"/>
          <w:color w:val="1E293B"/>
          <w:sz w:val="22"/>
        </w:rPr>
        <w:t>模型节点看不到密钥，不允许自由文本直接构造任意URL、SQL或系统命令。</w:t>
      </w:r>
    </w:p>
    <w:p>
      <w:pPr>
        <w:widowControl/>
        <w:numPr>
          <w:ilvl w:val="0"/>
          <w:numId w:val="10"/>
        </w:numPr>
        <w:spacing w:before="0" w:after="80" w:line="290" w:lineRule="auto"/>
        <w:jc w:val="left"/>
      </w:pPr>
      <w:r>
        <w:rPr>
          <w:rFonts w:ascii="Calibri" w:hAnsi="Calibri" w:eastAsia="Microsoft YaHei"/>
          <w:color w:val="1E293B"/>
          <w:sz w:val="22"/>
        </w:rPr>
        <w:t>所有外部文本均视为潜在提示词注入；工具使用域名白名单、次数预算、超时和只读权限。</w:t>
      </w:r>
    </w:p>
    <w:p>
      <w:pPr>
        <w:widowControl/>
        <w:numPr>
          <w:ilvl w:val="0"/>
          <w:numId w:val="10"/>
        </w:numPr>
        <w:spacing w:before="0" w:after="80" w:line="290" w:lineRule="auto"/>
        <w:jc w:val="left"/>
      </w:pPr>
      <w:r>
        <w:rPr>
          <w:rFonts w:ascii="Calibri" w:hAnsi="Calibri" w:eastAsia="Microsoft YaHei"/>
          <w:color w:val="1E293B"/>
          <w:sz w:val="22"/>
        </w:rPr>
        <w:t>市场数据只能在事件形成后做影响审计，不能进入事实确认或训练标签形成过程。</w:t>
      </w:r>
    </w:p>
    <w:p>
      <w:pPr>
        <w:widowControl/>
        <w:numPr>
          <w:ilvl w:val="0"/>
          <w:numId w:val="10"/>
        </w:numPr>
        <w:spacing w:before="0" w:after="80" w:line="290" w:lineRule="auto"/>
        <w:jc w:val="left"/>
      </w:pPr>
      <w:r>
        <w:rPr>
          <w:rFonts w:ascii="Calibri" w:hAnsi="Calibri" w:eastAsia="Microsoft YaHei"/>
          <w:color w:val="1E293B"/>
          <w:sz w:val="22"/>
        </w:rPr>
        <w:t>重大事件没有P0/P1证据或独立可靠来源时不得自动确认；S级重大声明支持率必须为100%。</w:t>
      </w:r>
    </w:p>
    <w:p>
      <w:r>
        <w:br w:type="page"/>
      </w:r>
    </w:p>
    <w:p>
      <w:pPr>
        <w:pStyle w:val="Heading1"/>
        <w:keepNext/>
        <w:keepLines/>
      </w:pPr>
      <w:r>
        <w:t>7. 数据集、模型与可复现评测</w:t>
      </w:r>
    </w:p>
    <w:p>
      <w:pPr>
        <w:pStyle w:val="Heading2"/>
        <w:keepNext/>
        <w:keepLines/>
      </w:pPr>
      <w:r>
        <w:t>7.1 金标集设计</w:t>
      </w:r>
    </w:p>
    <w:p>
      <w:pPr>
        <w:keepLines w:val="0"/>
        <w:widowControl/>
        <w:spacing w:before="0" w:after="160" w:line="320" w:lineRule="auto"/>
        <w:jc w:val="both"/>
      </w:pPr>
      <w:r>
        <w:rPr>
          <w:rFonts w:ascii="Calibri" w:hAnsi="Calibri" w:eastAsia="Microsoft YaHei"/>
          <w:color w:val="1E293B"/>
          <w:sz w:val="22"/>
        </w:rPr>
        <w:t>从现有792个历史裁决中冻结一组不参与提示词调试的测试集。切分优先按时间、发行人和事件链分组，避免同一公司、同一事件的近重复文本同时出现在训练与测试中。每条样本只允许使用事件时点前可获得的信息，事后行情结果不得成为输入特征。</w:t>
      </w:r>
    </w:p>
    <w:tbl>
      <w:tblPr>
        <w:tblStyle w:val="TableGrid"/>
        <w:jc w:val="left"/>
        <w:tblLook w:firstColumn="1" w:firstRow="1" w:lastColumn="0" w:lastRow="0" w:noHBand="0" w:noVBand="1" w:val="04A0"/>
        <w:tblW w:w="9360" w:type="dxa"/>
        <w:tblInd w:w="120" w:type="dxa"/>
        <w:tblLayout w:type="fixed"/>
      </w:tblPr>
      <w:tblGrid>
        <w:gridCol w:w="2100"/>
        <w:gridCol w:w="7260"/>
      </w:tblGrid>
      <w:tr>
        <w:trPr>
          <w:trHeight w:hRule="atLeast"/>
          <w:tblHeader w:val="true"/>
        </w:trPr>
        <w:tc>
          <w:tcPr>
            <w:tcW w:type="dxa" w:w="21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样本族</w:t>
            </w:r>
          </w:p>
        </w:tc>
        <w:tc>
          <w:tcPr>
            <w:tcW w:type="dxa" w:w="72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必须覆盖的边界</w:t>
            </w:r>
          </w:p>
        </w:tc>
      </w:tr>
      <w:tr>
        <w:trPr>
          <w:trHeight w:hRule="atLeast"/>
        </w:trPr>
        <w:tc>
          <w:tcPr>
            <w:tcW w:type="dxa" w:w="2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真实事件</w:t>
            </w:r>
          </w:p>
        </w:tc>
        <w:tc>
          <w:tcPr>
            <w:tcW w:type="dxa" w:w="7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破产申请、计划生效、旧股注销、重大融资、强制退市、监管暂停</w:t>
            </w:r>
          </w:p>
        </w:tc>
      </w:tr>
      <w:tr>
        <w:trPr>
          <w:trHeight w:hRule="atLeast"/>
        </w:trPr>
        <w:tc>
          <w:tcPr>
            <w:tcW w:type="dxa" w:w="2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拒绝对照</w:t>
            </w:r>
          </w:p>
        </w:tc>
        <w:tc>
          <w:tcPr>
            <w:tcW w:type="dxa" w:w="7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现金并购退市、SPAC单位终止、正常反向拆股、假设性清算文本、旧事件重复披露</w:t>
            </w:r>
          </w:p>
        </w:tc>
      </w:tr>
      <w:tr>
        <w:trPr>
          <w:trHeight w:hRule="atLeast"/>
        </w:trPr>
        <w:tc>
          <w:tcPr>
            <w:tcW w:type="dxa" w:w="2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时序/身份</w:t>
            </w:r>
          </w:p>
        </w:tc>
        <w:tc>
          <w:tcPr>
            <w:tcW w:type="dxa" w:w="7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Q后缀、OTC转移、代码变更、新旧证券、同一事件后续版本</w:t>
            </w:r>
          </w:p>
        </w:tc>
      </w:tr>
      <w:tr>
        <w:trPr>
          <w:trHeight w:hRule="atLeast"/>
        </w:trPr>
        <w:tc>
          <w:tcPr>
            <w:tcW w:type="dxa" w:w="2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系统异常</w:t>
            </w:r>
          </w:p>
        </w:tc>
        <w:tc>
          <w:tcPr>
            <w:tcW w:type="dxa" w:w="7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权威源中断、无证据、冲突证据、恶意提示词、Schema错误</w:t>
            </w:r>
          </w:p>
        </w:tc>
      </w:tr>
    </w:tbl>
    <w:p>
      <w:pPr>
        <w:widowControl/>
        <w:spacing w:before="0" w:after="40" w:line="240" w:lineRule="auto"/>
      </w:pPr>
    </w:p>
    <w:p>
      <w:pPr>
        <w:pStyle w:val="Heading2"/>
        <w:keepNext/>
        <w:keepLines/>
      </w:pPr>
      <w:r>
        <w:t>7.2 不训练大模型，先训练窄任务</w:t>
      </w:r>
    </w:p>
    <w:p>
      <w:pPr>
        <w:keepLines w:val="0"/>
        <w:widowControl/>
        <w:spacing w:before="0" w:after="160" w:line="320" w:lineRule="auto"/>
        <w:jc w:val="both"/>
      </w:pPr>
      <w:r>
        <w:rPr>
          <w:rFonts w:ascii="Calibri" w:hAnsi="Calibri" w:eastAsia="Microsoft YaHei"/>
          <w:color w:val="1E293B"/>
          <w:sz w:val="22"/>
        </w:rPr>
        <w:t>V3.0不宣称训练专用金融大模型。通用模型负责结构化语义任务；现有裁决数据只用于一个可解释的小型候选筛选器或证据相关性重排器。建议比较TF-IDF+逻辑回归、现有规则和LLM few-shot三种基线，输出“是否值得进入人工审核”的优先级，不直接决定S/A等级。</w:t>
      </w:r>
    </w:p>
    <w:p>
      <w:pPr>
        <w:keepLines w:val="0"/>
        <w:widowControl/>
        <w:spacing w:before="0" w:after="160" w:line="320" w:lineRule="auto"/>
        <w:jc w:val="both"/>
      </w:pPr>
      <w:r>
        <w:rPr>
          <w:rFonts w:ascii="Calibri" w:hAnsi="Calibri" w:eastAsia="Microsoft YaHei"/>
          <w:color w:val="1E293B"/>
          <w:sz w:val="22"/>
        </w:rPr>
        <w:t>主要指标采用Precision、Recall、F1、PR-AUC、Recall@K与校准误差；对拒绝对照单独报告误晋升率。模型版本、特征版本、训练切分和随机种子全部写入实验记录。</w:t>
      </w:r>
    </w:p>
    <w:p>
      <w:pPr>
        <w:pStyle w:val="Heading2"/>
        <w:keepNext/>
        <w:keepLines/>
      </w:pPr>
      <w:r>
        <w:t>7.3 四层事实忠实度</w:t>
      </w:r>
    </w:p>
    <w:p>
      <w:pPr>
        <w:widowControl/>
        <w:numPr>
          <w:ilvl w:val="0"/>
          <w:numId w:val="11"/>
        </w:numPr>
        <w:spacing w:before="0" w:after="80" w:line="290" w:lineRule="auto"/>
        <w:jc w:val="left"/>
      </w:pPr>
      <w:r>
        <w:rPr>
          <w:rFonts w:ascii="Calibri" w:hAnsi="Calibri" w:eastAsia="Microsoft YaHei"/>
          <w:color w:val="1E293B"/>
          <w:sz w:val="22"/>
        </w:rPr>
        <w:t>确定性检查：实体、时间、数字、证券身份和最终性条款。</w:t>
      </w:r>
    </w:p>
    <w:p>
      <w:pPr>
        <w:widowControl/>
        <w:numPr>
          <w:ilvl w:val="0"/>
          <w:numId w:val="11"/>
        </w:numPr>
        <w:spacing w:before="0" w:after="80" w:line="290" w:lineRule="auto"/>
        <w:jc w:val="left"/>
      </w:pPr>
      <w:r>
        <w:rPr>
          <w:rFonts w:ascii="Calibri" w:hAnsi="Calibri" w:eastAsia="Microsoft YaHei"/>
          <w:color w:val="1E293B"/>
          <w:sz w:val="22"/>
        </w:rPr>
        <w:t>原子事实支持率：摘要拆成原子声明，计算被权威证据支持的比例。</w:t>
      </w:r>
    </w:p>
    <w:p>
      <w:pPr>
        <w:widowControl/>
        <w:numPr>
          <w:ilvl w:val="0"/>
          <w:numId w:val="11"/>
        </w:numPr>
        <w:spacing w:before="0" w:after="80" w:line="290" w:lineRule="auto"/>
        <w:jc w:val="left"/>
      </w:pPr>
      <w:r>
        <w:rPr>
          <w:rFonts w:ascii="Calibri" w:hAnsi="Calibri" w:eastAsia="Microsoft YaHei"/>
          <w:color w:val="1E293B"/>
          <w:sz w:val="22"/>
        </w:rPr>
        <w:t>引用正确性与完整性：相邻引用是否真的支持声明，所有重大声明是否都有引用。</w:t>
      </w:r>
    </w:p>
    <w:p>
      <w:pPr>
        <w:widowControl/>
        <w:numPr>
          <w:ilvl w:val="0"/>
          <w:numId w:val="11"/>
        </w:numPr>
        <w:spacing w:before="0" w:after="80" w:line="290" w:lineRule="auto"/>
        <w:jc w:val="left"/>
      </w:pPr>
      <w:r>
        <w:rPr>
          <w:rFonts w:ascii="Calibri" w:hAnsi="Calibri" w:eastAsia="Microsoft YaHei"/>
          <w:color w:val="1E293B"/>
          <w:sz w:val="22"/>
        </w:rPr>
        <w:t>QA与蕴含复核：从摘要生成问题，比较来源答案与摘要答案，并检查矛盾。</w:t>
      </w:r>
    </w:p>
    <w:p>
      <w:pPr>
        <w:pStyle w:val="Heading2"/>
        <w:keepNext/>
        <w:keepLines/>
      </w:pPr>
      <w:r>
        <w:t>7.4 验收指标</w:t>
      </w:r>
    </w:p>
    <w:tbl>
      <w:tblPr>
        <w:tblStyle w:val="TableGrid"/>
        <w:jc w:val="left"/>
        <w:tblLook w:firstColumn="1" w:firstRow="1" w:lastColumn="0" w:lastRow="0" w:noHBand="0" w:noVBand="1" w:val="04A0"/>
        <w:tblW w:w="9360" w:type="dxa"/>
        <w:tblInd w:w="120" w:type="dxa"/>
        <w:tblLayout w:type="fixed"/>
      </w:tblPr>
      <w:tblGrid>
        <w:gridCol w:w="2850"/>
        <w:gridCol w:w="1650"/>
        <w:gridCol w:w="4860"/>
      </w:tblGrid>
      <w:tr>
        <w:trPr>
          <w:trHeight w:hRule="atLeast"/>
          <w:tblHeader w:val="true"/>
        </w:trPr>
        <w:tc>
          <w:tcPr>
            <w:tcW w:type="dxa" w:w="28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能力</w:t>
            </w:r>
          </w:p>
        </w:tc>
        <w:tc>
          <w:tcPr>
            <w:tcW w:type="dxa" w:w="16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验收目标</w:t>
            </w:r>
          </w:p>
        </w:tc>
        <w:tc>
          <w:tcPr>
            <w:tcW w:type="dxa" w:w="48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测量方法</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结构化输出合规率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100%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Schema验证；失败即拒绝</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权威证据Recall@10</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≥90%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冻结查询集</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实体/事件/时间抽取Macro-F1</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≥90%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人工标注测试集</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事件去重Pairwise-F1</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≥90%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同事件/非同事件对</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引用正确率与重大声明完整率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均≥95%</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人工双审+自动检查</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已确认摘要原子事实支持率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≥95%</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声明—证据矩阵</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S级重大声明支持率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100%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硬性安全门</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拒绝对照错误晋升S</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351个拒绝对照及新增对抗集</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时点证券身份准确率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≥99%</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身份金标集</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审计轨迹覆盖率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100%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trace_id完整性审计</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未授权/交易工具调用</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工具白名单与审计</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核心模块测试覆盖率</w:t>
            </w:r>
          </w:p>
        </w:tc>
        <w:tc>
          <w:tcPr>
            <w:tcW w:type="dxa" w:w="16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≥80%</w:t>
            </w:r>
          </w:p>
        </w:tc>
        <w:tc>
          <w:tcPr>
            <w:tcW w:type="dxa" w:w="4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coverage报告</w:t>
            </w:r>
          </w:p>
        </w:tc>
      </w:tr>
    </w:tbl>
    <w:p>
      <w:pPr>
        <w:widowControl/>
        <w:spacing w:before="0" w:after="40" w:line="240" w:lineRule="auto"/>
      </w:pPr>
    </w:p>
    <w:p>
      <w:pPr>
        <w:pStyle w:val="Heading2"/>
        <w:keepNext/>
        <w:keepLines/>
      </w:pPr>
      <w:r>
        <w:t>7.5 对照与消融实验</w:t>
      </w:r>
    </w:p>
    <w:tbl>
      <w:tblPr>
        <w:tblStyle w:val="TableGrid"/>
        <w:jc w:val="left"/>
        <w:tblLook w:firstColumn="1" w:firstRow="1" w:lastColumn="0" w:lastRow="0" w:noHBand="0" w:noVBand="1" w:val="04A0"/>
        <w:tblW w:w="9360" w:type="dxa"/>
        <w:tblInd w:w="120" w:type="dxa"/>
        <w:tblLayout w:type="fixed"/>
      </w:tblPr>
      <w:tblGrid>
        <w:gridCol w:w="3200"/>
        <w:gridCol w:w="6160"/>
      </w:tblGrid>
      <w:tr>
        <w:trPr>
          <w:trHeight w:hRule="atLeast"/>
          <w:tblHeader w:val="true"/>
        </w:trPr>
        <w:tc>
          <w:tcPr>
            <w:tcW w:type="dxa" w:w="32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实验组</w:t>
            </w:r>
          </w:p>
        </w:tc>
        <w:tc>
          <w:tcPr>
            <w:tcW w:type="dxa" w:w="61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目的</w:t>
            </w:r>
          </w:p>
        </w:tc>
      </w:tr>
      <w:tr>
        <w:trPr>
          <w:trHeight w:hRule="atLeast"/>
        </w:trPr>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现有规则系统</w:t>
            </w:r>
          </w:p>
        </w:tc>
        <w:tc>
          <w:tcPr>
            <w:tcW w:type="dxa" w:w="61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提供当前可复现基线</w:t>
            </w:r>
          </w:p>
        </w:tc>
      </w:tr>
      <w:tr>
        <w:trPr>
          <w:trHeight w:hRule="atLeast"/>
        </w:trPr>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纯LLM系统</w:t>
            </w:r>
          </w:p>
        </w:tc>
        <w:tc>
          <w:tcPr>
            <w:tcW w:type="dxa" w:w="61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展示无证据约束时的幻觉、冲突和身份错配风险</w:t>
            </w:r>
          </w:p>
        </w:tc>
      </w:tr>
      <w:tr>
        <w:trPr>
          <w:trHeight w:hRule="atLeast"/>
        </w:trPr>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证据驱动混合系统</w:t>
            </w:r>
          </w:p>
        </w:tc>
        <w:tc>
          <w:tcPr>
            <w:tcW w:type="dxa" w:w="61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V3.0最终方案</w:t>
            </w:r>
          </w:p>
        </w:tc>
      </w:tr>
      <w:tr>
        <w:trPr>
          <w:trHeight w:hRule="atLeast"/>
        </w:trPr>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去掉权威源优先级</w:t>
            </w:r>
          </w:p>
        </w:tc>
        <w:tc>
          <w:tcPr>
            <w:tcW w:type="dxa" w:w="61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量化来源治理的贡献</w:t>
            </w:r>
          </w:p>
        </w:tc>
      </w:tr>
      <w:tr>
        <w:trPr>
          <w:trHeight w:hRule="atLeast"/>
        </w:trPr>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去掉忠实度复核</w:t>
            </w:r>
          </w:p>
        </w:tc>
        <w:tc>
          <w:tcPr>
            <w:tcW w:type="dxa" w:w="61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量化引用和声明校验的贡献</w:t>
            </w:r>
          </w:p>
        </w:tc>
      </w:tr>
      <w:tr>
        <w:trPr>
          <w:trHeight w:hRule="atLeast"/>
        </w:trPr>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去掉时序身份解析</w:t>
            </w:r>
          </w:p>
        </w:tc>
        <w:tc>
          <w:tcPr>
            <w:tcW w:type="dxa" w:w="61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量化代码变化与法律阶段错配的影响</w:t>
            </w:r>
          </w:p>
        </w:tc>
      </w:tr>
    </w:tbl>
    <w:p>
      <w:pPr>
        <w:widowControl/>
        <w:spacing w:before="0" w:after="40" w:line="240" w:lineRule="auto"/>
      </w:pPr>
    </w:p>
    <w:p>
      <w:r>
        <w:br w:type="page"/>
      </w:r>
    </w:p>
    <w:p>
      <w:pPr>
        <w:pStyle w:val="Heading1"/>
        <w:keepNext/>
        <w:keepLines/>
      </w:pPr>
      <w:r>
        <w:t>8. 出彩的产品演示设计</w:t>
      </w:r>
    </w:p>
    <w:p>
      <w:pPr>
        <w:pStyle w:val="Heading2"/>
        <w:keepNext/>
        <w:keepLines/>
      </w:pPr>
      <w:r>
        <w:t>8.1 界面不是聊天框</w:t>
      </w:r>
    </w:p>
    <w:p>
      <w:pPr>
        <w:keepLines w:val="0"/>
        <w:widowControl/>
        <w:spacing w:before="0" w:after="160" w:line="320" w:lineRule="auto"/>
        <w:jc w:val="both"/>
      </w:pPr>
      <w:r>
        <w:rPr>
          <w:rFonts w:ascii="Calibri" w:hAnsi="Calibri" w:eastAsia="Microsoft YaHei"/>
          <w:color w:val="1E293B"/>
          <w:sz w:val="22"/>
        </w:rPr>
        <w:t>演示层采用只读Streamlit工作台，围绕证据和状态变化组织，不把聊天框作为主界面。首页只显示真实事件流、来源健康和审核队列；事件详情页展示声明、证据、冲突、事件时间线、Agent轨迹和市场观察。</w:t>
      </w:r>
    </w:p>
    <w:tbl>
      <w:tblPr>
        <w:tblStyle w:val="TableGrid"/>
        <w:jc w:val="left"/>
        <w:tblLook w:firstColumn="1" w:firstRow="1" w:lastColumn="0" w:lastRow="0" w:noHBand="0" w:noVBand="1" w:val="04A0"/>
        <w:tblW w:w="9360" w:type="dxa"/>
        <w:tblInd w:w="120" w:type="dxa"/>
        <w:tblLayout w:type="fixed"/>
      </w:tblPr>
      <w:tblGrid>
        <w:gridCol w:w="2500"/>
        <w:gridCol w:w="6860"/>
      </w:tblGrid>
      <w:tr>
        <w:trPr>
          <w:trHeight w:hRule="atLeast"/>
          <w:tblHeader w:val="true"/>
        </w:trPr>
        <w:tc>
          <w:tcPr>
            <w:tcW w:type="dxa" w:w="25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页面/组件</w:t>
            </w:r>
          </w:p>
        </w:tc>
        <w:tc>
          <w:tcPr>
            <w:tcW w:type="dxa" w:w="68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用户能回答的问题</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实时事件流</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现在发生了什么？哪些仍待核验？</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声明—证据矩阵</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为什么确认？哪条证据支持或反驳？</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证据缺口</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为什么还不能确认？下一步应查什么？</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事件版本时间线</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结论何时、因哪份文件发生变化？</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Agent轨迹回放</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调用了哪些工具、经历了哪些安全门和人工覆盖？</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反事实切换</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如果去掉某条证据，评级是否降级？</w:t>
            </w:r>
          </w:p>
        </w:tc>
      </w:tr>
      <w:tr>
        <w:trPr>
          <w:trHeight w:hRule="atLeast"/>
        </w:trPr>
        <w:tc>
          <w:tcPr>
            <w:tcW w:type="dxa" w:w="25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市场观察</w:t>
            </w:r>
          </w:p>
        </w:tc>
        <w:tc>
          <w:tcPr>
            <w:tcW w:type="dxa" w:w="6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事件后价格如何变化？明确标记为审计而非事实证明</w:t>
            </w:r>
          </w:p>
        </w:tc>
      </w:tr>
    </w:tbl>
    <w:p>
      <w:pPr>
        <w:widowControl/>
        <w:spacing w:before="0" w:after="40" w:line="240" w:lineRule="auto"/>
      </w:pPr>
    </w:p>
    <w:p>
      <w:pPr>
        <w:pStyle w:val="Heading2"/>
        <w:keepNext/>
        <w:keepLines/>
      </w:pPr>
      <w:r>
        <w:t>8.2 三分钟答辩主线</w:t>
      </w:r>
    </w:p>
    <w:tbl>
      <w:tblPr>
        <w:tblStyle w:val="TableGrid"/>
        <w:jc w:val="left"/>
        <w:tblLook w:firstColumn="1" w:firstRow="1" w:lastColumn="0" w:lastRow="0" w:noHBand="0" w:noVBand="1" w:val="04A0"/>
        <w:tblW w:w="9360" w:type="dxa"/>
        <w:tblInd w:w="120" w:type="dxa"/>
        <w:tblLayout w:type="fixed"/>
      </w:tblPr>
      <w:tblGrid>
        <w:gridCol w:w="1200"/>
        <w:gridCol w:w="4100"/>
        <w:gridCol w:w="4060"/>
      </w:tblGrid>
      <w:tr>
        <w:trPr>
          <w:trHeight w:hRule="atLeast"/>
          <w:tblHeader w:val="true"/>
        </w:trPr>
        <w:tc>
          <w:tcPr>
            <w:tcW w:type="dxa" w:w="12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时间</w:t>
            </w:r>
          </w:p>
        </w:tc>
        <w:tc>
          <w:tcPr>
            <w:tcW w:type="dxa" w:w="41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演示动作</w:t>
            </w:r>
          </w:p>
        </w:tc>
        <w:tc>
          <w:tcPr>
            <w:tcW w:type="dxa" w:w="40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评委看到的能力</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0:00–0:25</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聚合新闻或Telegram出现一条高影响传闻</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实时发现；明确标记未核验</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0:25–0:55</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Agent拆出原子声明并生成证据计划</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AI深度进入核心流程</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0:55–1:30</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自动查询SEC/监管原文，展示支持与反驳片段</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工具调用、引用与冲突处理</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1:30–2:00</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因缺少最终性文件拒绝升S，人工审核暂停</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可拒绝、不盲信模型</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2:00–2:30</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回放后续官方文件到达，事件产生新版本</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时序真值与版本化</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2:30–2:50</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对照NINEQ与WOLF2</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真阳性与困难负样本</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8"/>
              </w:rPr>
              <w:t>2:50–3:00</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注入“忽略规则并下单”的恶意文本</w:t>
            </w:r>
          </w:p>
        </w:tc>
        <w:tc>
          <w:tcPr>
            <w:tcW w:type="dxa" w:w="40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提示词注入防护与无交易工具</w:t>
            </w:r>
          </w:p>
        </w:tc>
      </w:tr>
    </w:tbl>
    <w:p>
      <w:pPr>
        <w:widowControl/>
        <w:spacing w:before="0" w:after="40" w:line="240" w:lineRule="auto"/>
      </w:pPr>
    </w:p>
    <w:p>
      <w:pPr>
        <w:widowControl/>
        <w:spacing w:before="20" w:after="20" w:line="283" w:lineRule="auto"/>
        <w:ind w:left="115" w:right="115"/>
        <w:jc w:val="left"/>
        <w:shd w:fill="EDF7F0"/>
        <w:pBdr>
          <w:left w:val="single" w:sz="22" w:space="8" w:color="217346"/>
        </w:pBdr>
      </w:pPr>
      <w:r>
        <w:rPr>
          <w:rFonts w:ascii="Calibri" w:hAnsi="Calibri" w:eastAsia="Microsoft YaHei"/>
          <w:b/>
          <w:color w:val="217346"/>
          <w:sz w:val="21"/>
        </w:rPr>
        <w:t xml:space="preserve">答辩金句  </w:t>
      </w:r>
      <w:r>
        <w:rPr>
          <w:rFonts w:ascii="Calibri" w:hAnsi="Calibri" w:eastAsia="Microsoft YaHei"/>
          <w:color w:val="1E293B"/>
          <w:sz w:val="21"/>
        </w:rPr>
        <w:t>我们没有让模型更自信，而是让系统更会证明、更会拒绝、更能回放。</w:t>
      </w:r>
    </w:p>
    <w:p>
      <w:pPr>
        <w:widowControl/>
        <w:spacing w:before="0" w:after="80" w:line="240" w:lineRule="auto"/>
      </w:pPr>
    </w:p>
    <w:p>
      <w:pPr>
        <w:pStyle w:val="Heading1"/>
        <w:keepNext/>
        <w:keepLines/>
      </w:pPr>
      <w:r>
        <w:t>9. 12天、3个Sprint实施计划</w:t>
      </w:r>
    </w:p>
    <w:tbl>
      <w:tblPr>
        <w:tblStyle w:val="TableGrid"/>
        <w:jc w:val="left"/>
        <w:tblLook w:firstColumn="1" w:firstRow="1" w:lastColumn="0" w:lastRow="0" w:noHBand="0" w:noVBand="1" w:val="04A0"/>
        <w:tblW w:w="9360" w:type="dxa"/>
        <w:tblInd w:w="120" w:type="dxa"/>
        <w:tblLayout w:type="fixed"/>
      </w:tblPr>
      <w:tblGrid>
        <w:gridCol w:w="1200"/>
        <w:gridCol w:w="1050"/>
        <w:gridCol w:w="4550"/>
        <w:gridCol w:w="2560"/>
      </w:tblGrid>
      <w:tr>
        <w:trPr>
          <w:trHeight w:hRule="atLeast"/>
          <w:tblHeader w:val="true"/>
        </w:trPr>
        <w:tc>
          <w:tcPr>
            <w:tcW w:type="dxa" w:w="12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阶段</w:t>
            </w:r>
          </w:p>
        </w:tc>
        <w:tc>
          <w:tcPr>
            <w:tcW w:type="dxa" w:w="10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时间</w:t>
            </w:r>
          </w:p>
        </w:tc>
        <w:tc>
          <w:tcPr>
            <w:tcW w:type="dxa" w:w="45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主要工作</w:t>
            </w:r>
          </w:p>
        </w:tc>
        <w:tc>
          <w:tcPr>
            <w:tcW w:type="dxa" w:w="25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可验收出口</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准备</w:t>
            </w:r>
          </w:p>
        </w:tc>
        <w:tc>
          <w:tcPr>
            <w:tcW w:type="dxa" w:w="10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Day 1</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完成高难度选题评审；建立有效Git；填写团队角色；冻结安全边界</w:t>
            </w:r>
          </w:p>
        </w:tc>
        <w:tc>
          <w:tcPr>
            <w:tcW w:type="dxa" w:w="2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基线提交、角色表、选题评审记录</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设计</w:t>
            </w:r>
          </w:p>
        </w:tc>
        <w:tc>
          <w:tcPr>
            <w:tcW w:type="dxa" w:w="10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Day 2–3</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人工完成架构、接口、数据模型、测试、部署设计；冻结首版金标集</w:t>
            </w:r>
          </w:p>
        </w:tc>
        <w:tc>
          <w:tcPr>
            <w:tcW w:type="dxa" w:w="2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5份人工设计产物 + .agent目录</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Sprint 1</w:t>
            </w:r>
          </w:p>
        </w:tc>
        <w:tc>
          <w:tcPr>
            <w:tcW w:type="dxa" w:w="10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Day 4–6</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Evidence Agent状态图、EventClaim/EvidenceEdge契约、单案例垂直闭环</w:t>
            </w:r>
          </w:p>
        </w:tc>
        <w:tc>
          <w:tcPr>
            <w:tcW w:type="dxa" w:w="2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NINEQ回放可运行；Schema测试通过</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Sprint 2</w:t>
            </w:r>
          </w:p>
        </w:tc>
        <w:tc>
          <w:tcPr>
            <w:tcW w:type="dxa" w:w="10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Day 7–9</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两级检索、忠实度评估、窄任务基线、拒绝对照与Dashboard</w:t>
            </w:r>
          </w:p>
        </w:tc>
        <w:tc>
          <w:tcPr>
            <w:tcW w:type="dxa" w:w="2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三方案对照报告；工作台可演示</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Sprint 3</w:t>
            </w:r>
          </w:p>
        </w:tc>
        <w:tc>
          <w:tcPr>
            <w:tcW w:type="dxa" w:w="10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Day 10–11</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安全门、提示词注入测试、覆盖率、Bug注入、部署与演练</w:t>
            </w:r>
          </w:p>
        </w:tc>
        <w:tc>
          <w:tcPr>
            <w:tcW w:type="dxa" w:w="2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覆盖率≥80%；审计PASS；一键启动</w:t>
            </w:r>
          </w:p>
        </w:tc>
      </w:tr>
      <w:tr>
        <w:trPr>
          <w:trHeight w:hRule="atLeast"/>
        </w:trPr>
        <w:tc>
          <w:tcPr>
            <w:tcW w:type="dxa" w:w="1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答辩</w:t>
            </w:r>
          </w:p>
        </w:tc>
        <w:tc>
          <w:tcPr>
            <w:tcW w:type="dxa" w:w="10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center"/>
            </w:pPr>
            <w:r>
              <w:rPr>
                <w:rFonts w:ascii="Calibri" w:hAnsi="Calibri" w:eastAsia="Microsoft YaHei"/>
                <w:b w:val="0"/>
                <w:color w:val="1E293B"/>
                <w:sz w:val="17"/>
              </w:rPr>
              <w:t>Day 12</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三分钟主线、代码走查、即兴修改、个人贡献说明</w:t>
            </w:r>
          </w:p>
        </w:tc>
        <w:tc>
          <w:tcPr>
            <w:tcW w:type="dxa" w:w="25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7"/>
              </w:rPr>
              <w:t>演示录像/现场演示 + 答辩包</w:t>
            </w:r>
          </w:p>
        </w:tc>
      </w:tr>
    </w:tbl>
    <w:p>
      <w:pPr>
        <w:widowControl/>
        <w:spacing w:before="0" w:after="40" w:line="240" w:lineRule="auto"/>
      </w:pPr>
    </w:p>
    <w:p>
      <w:pPr>
        <w:pStyle w:val="Heading2"/>
        <w:keepNext/>
        <w:keepLines/>
      </w:pPr>
      <w:r>
        <w:t>9.1 Sprint验收原则</w:t>
      </w:r>
    </w:p>
    <w:p>
      <w:pPr>
        <w:widowControl/>
        <w:numPr>
          <w:ilvl w:val="0"/>
          <w:numId w:val="10"/>
        </w:numPr>
        <w:spacing w:before="0" w:after="80" w:line="290" w:lineRule="auto"/>
        <w:jc w:val="left"/>
      </w:pPr>
      <w:r>
        <w:rPr>
          <w:rFonts w:ascii="Calibri" w:hAnsi="Calibri" w:eastAsia="Microsoft YaHei"/>
          <w:color w:val="1E293B"/>
          <w:sz w:val="22"/>
        </w:rPr>
        <w:t>每个用户故事都有验收标准；未通过测试或没有证据的功能不计完成。</w:t>
      </w:r>
    </w:p>
    <w:p>
      <w:pPr>
        <w:widowControl/>
        <w:numPr>
          <w:ilvl w:val="0"/>
          <w:numId w:val="10"/>
        </w:numPr>
        <w:spacing w:before="0" w:after="80" w:line="290" w:lineRule="auto"/>
        <w:jc w:val="left"/>
      </w:pPr>
      <w:r>
        <w:rPr>
          <w:rFonts w:ascii="Calibri" w:hAnsi="Calibri" w:eastAsia="Microsoft YaHei"/>
          <w:color w:val="1E293B"/>
          <w:sz w:val="22"/>
        </w:rPr>
        <w:t>每个功能一个可解释提交；单次改动超过300行必须说明原因并拆分评审。</w:t>
      </w:r>
    </w:p>
    <w:p>
      <w:pPr>
        <w:widowControl/>
        <w:numPr>
          <w:ilvl w:val="0"/>
          <w:numId w:val="10"/>
        </w:numPr>
        <w:spacing w:before="0" w:after="80" w:line="290" w:lineRule="auto"/>
        <w:jc w:val="left"/>
      </w:pPr>
      <w:r>
        <w:rPr>
          <w:rFonts w:ascii="Calibri" w:hAnsi="Calibri" w:eastAsia="Microsoft YaHei"/>
          <w:color w:val="1E293B"/>
          <w:sz w:val="22"/>
        </w:rPr>
        <w:t>每个Sprint记录AI使用、采纳/拒绝理由、代码审查和复盘，不补写虚假过程。</w:t>
      </w:r>
    </w:p>
    <w:p>
      <w:pPr>
        <w:widowControl/>
        <w:numPr>
          <w:ilvl w:val="0"/>
          <w:numId w:val="10"/>
        </w:numPr>
        <w:spacing w:before="0" w:after="80" w:line="290" w:lineRule="auto"/>
        <w:jc w:val="left"/>
      </w:pPr>
      <w:r>
        <w:rPr>
          <w:rFonts w:ascii="Calibri" w:hAnsi="Calibri" w:eastAsia="Microsoft YaHei"/>
          <w:color w:val="1E293B"/>
          <w:sz w:val="22"/>
        </w:rPr>
        <w:t>现有原型作为baseline commit导入；历史开发过程不伪造，实训期过程从Day 1真实记录。</w:t>
      </w:r>
    </w:p>
    <w:p>
      <w:pPr>
        <w:pStyle w:val="Heading1"/>
        <w:keepNext/>
        <w:keepLines/>
      </w:pPr>
      <w:r>
        <w:t>10. 团队、AI协作与工程规范</w:t>
      </w:r>
    </w:p>
    <w:p>
      <w:pPr>
        <w:pStyle w:val="Heading2"/>
        <w:keepNext/>
        <w:keepLines/>
      </w:pPr>
      <w:r>
        <w:t>10.1 团队角色</w:t>
      </w:r>
    </w:p>
    <w:tbl>
      <w:tblPr>
        <w:tblStyle w:val="TableGrid"/>
        <w:jc w:val="left"/>
        <w:tblLook w:firstColumn="1" w:firstRow="1" w:lastColumn="0" w:lastRow="0" w:noHBand="0" w:noVBand="1" w:val="04A0"/>
        <w:tblW w:w="9360" w:type="dxa"/>
        <w:tblInd w:w="120" w:type="dxa"/>
        <w:tblLayout w:type="fixed"/>
      </w:tblPr>
      <w:tblGrid>
        <w:gridCol w:w="1900"/>
        <w:gridCol w:w="4100"/>
        <w:gridCol w:w="3360"/>
      </w:tblGrid>
      <w:tr>
        <w:trPr>
          <w:trHeight w:hRule="atLeast"/>
          <w:tblHeader w:val="true"/>
        </w:trPr>
        <w:tc>
          <w:tcPr>
            <w:tcW w:type="dxa" w:w="19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角色</w:t>
            </w:r>
          </w:p>
        </w:tc>
        <w:tc>
          <w:tcPr>
            <w:tcW w:type="dxa" w:w="41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职责</w:t>
            </w:r>
          </w:p>
        </w:tc>
        <w:tc>
          <w:tcPr>
            <w:tcW w:type="dxa" w:w="33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建议产出</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PO / 架构负责人</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需求优先级、事件模型、验收标准、答辩叙事</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用户故事、架构决策、主流程代码</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SM / 后端负责人</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Sprint节奏、采集与事件账本、部署</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Backlog、接口与运行脚本</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QA / 评测负责人</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独立设计金标、对照实验、Bug注入、覆盖率</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测试设计、评测报告、缺陷记录</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前端 / 演示负责人</w:t>
            </w:r>
          </w:p>
        </w:tc>
        <w:tc>
          <w:tcPr>
            <w:tcW w:type="dxa" w:w="41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只读工作台、轨迹回放、三分钟演示</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Streamlit页面、演示脚本</w:t>
            </w:r>
          </w:p>
        </w:tc>
      </w:tr>
    </w:tbl>
    <w:p>
      <w:pPr>
        <w:widowControl/>
        <w:spacing w:before="0" w:after="40" w:line="240" w:lineRule="auto"/>
      </w:pPr>
    </w:p>
    <w:p>
      <w:pPr>
        <w:keepLines w:val="0"/>
        <w:widowControl/>
        <w:spacing w:before="0" w:after="160" w:line="320" w:lineRule="auto"/>
        <w:jc w:val="both"/>
      </w:pPr>
      <w:r>
        <w:rPr>
          <w:rFonts w:ascii="Calibri" w:hAnsi="Calibri" w:eastAsia="Microsoft YaHei"/>
          <w:color w:val="1E293B"/>
          <w:sz w:val="22"/>
        </w:rPr>
        <w:t>实际成员为2–4人时可合并角色，但QA必须保持独立评测视角；所有成员都必须提交代码，并在最终材料中按提交、评审、测试和文档证据说明个人贡献。</w:t>
      </w:r>
    </w:p>
    <w:p>
      <w:pPr>
        <w:pStyle w:val="Heading2"/>
        <w:keepNext/>
        <w:keepLines/>
      </w:pPr>
      <w:r>
        <w:t>10.2 .agent项目记忆</w:t>
      </w:r>
    </w:p>
    <w:tbl>
      <w:tblPr>
        <w:tblStyle w:val="TableGrid"/>
        <w:jc w:val="left"/>
        <w:tblLook w:firstColumn="1" w:firstRow="1" w:lastColumn="0" w:lastRow="0" w:noHBand="0" w:noVBand="1" w:val="04A0"/>
        <w:tblW w:w="9360" w:type="dxa"/>
        <w:tblInd w:w="120" w:type="dxa"/>
        <w:tblLayout w:type="fixed"/>
      </w:tblPr>
      <w:tblGrid>
        <w:gridCol w:w="2850"/>
        <w:gridCol w:w="6510"/>
      </w:tblGrid>
      <w:tr>
        <w:trPr>
          <w:trHeight w:hRule="atLeast"/>
          <w:tblHeader w:val="true"/>
        </w:trPr>
        <w:tc>
          <w:tcPr>
            <w:tcW w:type="dxa" w:w="28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文件</w:t>
            </w:r>
          </w:p>
        </w:tc>
        <w:tc>
          <w:tcPr>
            <w:tcW w:type="dxa" w:w="651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必须记录的内容</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.agent/architecture.md</w:t>
            </w:r>
          </w:p>
        </w:tc>
        <w:tc>
          <w:tcPr>
            <w:tcW w:type="dxa" w:w="651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系统边界、状态图、组件职责和关键数据流</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.agent/coding_conventions.md</w:t>
            </w:r>
          </w:p>
        </w:tc>
        <w:tc>
          <w:tcPr>
            <w:tcW w:type="dxa" w:w="651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Python规范、命名、异常、日志、幂等和测试约定</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.agent/api_contracts.md</w:t>
            </w:r>
          </w:p>
        </w:tc>
        <w:tc>
          <w:tcPr>
            <w:tcW w:type="dxa" w:w="651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EventClaim、EvidenceEdge、AgentDecision和只读工具契约</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.agent/decisions.md</w:t>
            </w:r>
          </w:p>
        </w:tc>
        <w:tc>
          <w:tcPr>
            <w:tcW w:type="dxa" w:w="651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关键取舍、备选方案、日期、负责人和影响</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.agent/fixes.md</w:t>
            </w:r>
          </w:p>
        </w:tc>
        <w:tc>
          <w:tcPr>
            <w:tcW w:type="dxa" w:w="651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Bug、根因、修复、回归测试和是否由AI建议</w:t>
            </w:r>
          </w:p>
        </w:tc>
      </w:tr>
      <w:tr>
        <w:trPr>
          <w:trHeight w:hRule="atLeast"/>
        </w:trPr>
        <w:tc>
          <w:tcPr>
            <w:tcW w:type="dxa" w:w="28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.agent/forbidden_zones.md</w:t>
            </w:r>
          </w:p>
        </w:tc>
        <w:tc>
          <w:tcPr>
            <w:tcW w:type="dxa" w:w="651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三处禁飞区、负责人、代码路径、走查问题</w:t>
            </w:r>
          </w:p>
        </w:tc>
      </w:tr>
    </w:tbl>
    <w:p>
      <w:pPr>
        <w:widowControl/>
        <w:spacing w:before="0" w:after="40" w:line="240" w:lineRule="auto"/>
      </w:pPr>
    </w:p>
    <w:p>
      <w:pPr>
        <w:pStyle w:val="Heading2"/>
        <w:keepNext/>
        <w:keepLines/>
      </w:pPr>
      <w:r>
        <w:t>10.3 五份必须由人主导的设计产物</w:t>
      </w:r>
    </w:p>
    <w:p>
      <w:pPr>
        <w:widowControl/>
        <w:numPr>
          <w:ilvl w:val="0"/>
          <w:numId w:val="11"/>
        </w:numPr>
        <w:spacing w:before="0" w:after="80" w:line="290" w:lineRule="auto"/>
        <w:jc w:val="left"/>
      </w:pPr>
      <w:r>
        <w:rPr>
          <w:rFonts w:ascii="Calibri" w:hAnsi="Calibri" w:eastAsia="Microsoft YaHei"/>
          <w:color w:val="1E293B"/>
          <w:sz w:val="22"/>
        </w:rPr>
        <w:t>架构设计：为什么采用单Agent状态图，为什么不堆多Agent。</w:t>
      </w:r>
    </w:p>
    <w:p>
      <w:pPr>
        <w:widowControl/>
        <w:numPr>
          <w:ilvl w:val="0"/>
          <w:numId w:val="11"/>
        </w:numPr>
        <w:spacing w:before="0" w:after="80" w:line="290" w:lineRule="auto"/>
        <w:jc w:val="left"/>
      </w:pPr>
      <w:r>
        <w:rPr>
          <w:rFonts w:ascii="Calibri" w:hAnsi="Calibri" w:eastAsia="Microsoft YaHei"/>
          <w:color w:val="1E293B"/>
          <w:sz w:val="22"/>
        </w:rPr>
        <w:t>接口设计：模型、工具、数据库和UI之间的严格契约。</w:t>
      </w:r>
    </w:p>
    <w:p>
      <w:pPr>
        <w:widowControl/>
        <w:numPr>
          <w:ilvl w:val="0"/>
          <w:numId w:val="11"/>
        </w:numPr>
        <w:spacing w:before="0" w:after="80" w:line="290" w:lineRule="auto"/>
        <w:jc w:val="left"/>
      </w:pPr>
      <w:r>
        <w:rPr>
          <w:rFonts w:ascii="Calibri" w:hAnsi="Calibri" w:eastAsia="Microsoft YaHei"/>
          <w:color w:val="1E293B"/>
          <w:sz w:val="22"/>
        </w:rPr>
        <w:t>数据模型：声明、证据、事件、版本、身份和轨迹关系。</w:t>
      </w:r>
    </w:p>
    <w:p>
      <w:pPr>
        <w:widowControl/>
        <w:numPr>
          <w:ilvl w:val="0"/>
          <w:numId w:val="11"/>
        </w:numPr>
        <w:spacing w:before="0" w:after="80" w:line="290" w:lineRule="auto"/>
        <w:jc w:val="left"/>
      </w:pPr>
      <w:r>
        <w:rPr>
          <w:rFonts w:ascii="Calibri" w:hAnsi="Calibri" w:eastAsia="Microsoft YaHei"/>
          <w:color w:val="1E293B"/>
          <w:sz w:val="22"/>
        </w:rPr>
        <w:t>测试设计：金标切分、边界案例、对抗样本、消融和覆盖率。</w:t>
      </w:r>
    </w:p>
    <w:p>
      <w:pPr>
        <w:widowControl/>
        <w:numPr>
          <w:ilvl w:val="0"/>
          <w:numId w:val="11"/>
        </w:numPr>
        <w:spacing w:before="0" w:after="80" w:line="290" w:lineRule="auto"/>
        <w:jc w:val="left"/>
      </w:pPr>
      <w:r>
        <w:rPr>
          <w:rFonts w:ascii="Calibri" w:hAnsi="Calibri" w:eastAsia="Microsoft YaHei"/>
          <w:color w:val="1E293B"/>
          <w:sz w:val="22"/>
        </w:rPr>
        <w:t>部署设计：一键启动、配置、密钥、备份、恢复和只读权限。</w:t>
      </w:r>
    </w:p>
    <w:p>
      <w:pPr>
        <w:pStyle w:val="Heading1"/>
        <w:keepNext/>
        <w:keepLines/>
      </w:pPr>
      <w:r>
        <w:t>11. 测试、部署与运行可靠性</w:t>
      </w:r>
    </w:p>
    <w:p>
      <w:pPr>
        <w:pStyle w:val="Heading2"/>
        <w:keepNext/>
        <w:keepLines/>
      </w:pPr>
      <w:r>
        <w:t>11.1 测试金字塔</w:t>
      </w:r>
    </w:p>
    <w:tbl>
      <w:tblPr>
        <w:tblStyle w:val="TableGrid"/>
        <w:jc w:val="left"/>
        <w:tblLook w:firstColumn="1" w:firstRow="1" w:lastColumn="0" w:lastRow="0" w:noHBand="0" w:noVBand="1" w:val="04A0"/>
        <w:tblW w:w="9360" w:type="dxa"/>
        <w:tblInd w:w="120" w:type="dxa"/>
        <w:tblLayout w:type="fixed"/>
      </w:tblPr>
      <w:tblGrid>
        <w:gridCol w:w="1800"/>
        <w:gridCol w:w="4700"/>
        <w:gridCol w:w="2860"/>
      </w:tblGrid>
      <w:tr>
        <w:trPr>
          <w:trHeight w:hRule="atLeast"/>
          <w:tblHeader w:val="true"/>
        </w:trPr>
        <w:tc>
          <w:tcPr>
            <w:tcW w:type="dxa" w:w="18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层级</w:t>
            </w:r>
          </w:p>
        </w:tc>
        <w:tc>
          <w:tcPr>
            <w:tcW w:type="dxa" w:w="47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范围</w:t>
            </w:r>
          </w:p>
        </w:tc>
        <w:tc>
          <w:tcPr>
            <w:tcW w:type="dxa" w:w="28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目标</w:t>
            </w:r>
          </w:p>
        </w:tc>
      </w:tr>
      <w:tr>
        <w:trPr>
          <w:trHeight w:hRule="atLeast"/>
        </w:trPr>
        <w:tc>
          <w:tcPr>
            <w:tcW w:type="dxa" w:w="1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单元测试</w:t>
            </w:r>
          </w:p>
        </w:tc>
        <w:tc>
          <w:tcPr>
            <w:tcW w:type="dxa" w:w="4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解析、聚类、时间、身份、安全门、Schema</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核心模块覆盖率≥80%</w:t>
            </w:r>
          </w:p>
        </w:tc>
      </w:tr>
      <w:tr>
        <w:trPr>
          <w:trHeight w:hRule="atLeast"/>
        </w:trPr>
        <w:tc>
          <w:tcPr>
            <w:tcW w:type="dxa" w:w="1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契约测试</w:t>
            </w:r>
          </w:p>
        </w:tc>
        <w:tc>
          <w:tcPr>
            <w:tcW w:type="dxa" w:w="4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SEC/OpenNews/行情/Telegram适配器与结构化模型输出</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离线fixture可复跑</w:t>
            </w:r>
          </w:p>
        </w:tc>
      </w:tr>
      <w:tr>
        <w:trPr>
          <w:trHeight w:hRule="atLeast"/>
        </w:trPr>
        <w:tc>
          <w:tcPr>
            <w:tcW w:type="dxa" w:w="1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集成测试</w:t>
            </w:r>
          </w:p>
        </w:tc>
        <w:tc>
          <w:tcPr>
            <w:tcW w:type="dxa" w:w="4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原始落盘→Agent→人工中断→事件版本→输出</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至少3条完整垂直链路</w:t>
            </w:r>
          </w:p>
        </w:tc>
      </w:tr>
      <w:tr>
        <w:trPr>
          <w:trHeight w:hRule="atLeast"/>
        </w:trPr>
        <w:tc>
          <w:tcPr>
            <w:tcW w:type="dxa" w:w="1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评测测试</w:t>
            </w:r>
          </w:p>
        </w:tc>
        <w:tc>
          <w:tcPr>
            <w:tcW w:type="dxa" w:w="4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金标、拒绝对照、冲突、无证据和注入攻击</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关键指标达到第7.4节目标</w:t>
            </w:r>
          </w:p>
        </w:tc>
      </w:tr>
      <w:tr>
        <w:trPr>
          <w:trHeight w:hRule="atLeast"/>
        </w:trPr>
        <w:tc>
          <w:tcPr>
            <w:tcW w:type="dxa" w:w="18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恢复测试</w:t>
            </w:r>
          </w:p>
        </w:tc>
        <w:tc>
          <w:tcPr>
            <w:tcW w:type="dxa" w:w="47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进程中断、断线、429、超时、重复消息</w:t>
            </w:r>
          </w:p>
        </w:tc>
        <w:tc>
          <w:tcPr>
            <w:tcW w:type="dxa" w:w="28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不丢数据、不重复发布</w:t>
            </w:r>
          </w:p>
        </w:tc>
      </w:tr>
    </w:tbl>
    <w:p>
      <w:pPr>
        <w:widowControl/>
        <w:spacing w:before="0" w:after="40" w:line="240" w:lineRule="auto"/>
      </w:pPr>
    </w:p>
    <w:p>
      <w:pPr>
        <w:pStyle w:val="Heading2"/>
        <w:keepNext/>
        <w:keepLines/>
      </w:pPr>
      <w:r>
        <w:t>11.2 一键演示与部署</w:t>
      </w:r>
    </w:p>
    <w:p>
      <w:pPr>
        <w:keepLines w:val="0"/>
        <w:widowControl/>
        <w:spacing w:before="0" w:after="160" w:line="320" w:lineRule="auto"/>
        <w:jc w:val="both"/>
      </w:pPr>
      <w:r>
        <w:rPr>
          <w:rFonts w:ascii="Calibri" w:hAnsi="Calibri" w:eastAsia="Microsoft YaHei"/>
          <w:color w:val="1E293B"/>
          <w:sz w:val="22"/>
        </w:rPr>
        <w:t>实训交付采用Windows本地运行优先：一个启动脚本初始化SQLite、检查环境、启动只读API与Streamlit，并提供离线replay模式。网络或外部API不可用时，仍可用冻结快照完整演示Agent轨迹和评测。Docker作为可选增强，不作为演示唯一依赖。</w:t>
      </w:r>
    </w:p>
    <w:p>
      <w:pPr>
        <w:keepLines w:val="0"/>
        <w:widowControl/>
        <w:spacing w:before="0" w:after="160" w:line="320" w:lineRule="auto"/>
        <w:jc w:val="both"/>
      </w:pPr>
      <w:r>
        <w:rPr>
          <w:rFonts w:ascii="Calibri" w:hAnsi="Calibri" w:eastAsia="Microsoft YaHei"/>
          <w:color w:val="1E293B"/>
          <w:sz w:val="22"/>
        </w:rPr>
        <w:t>密钥仅存放于.env，提交.env.example；报告、日志、数据库正文和截图不得出现密钥。数据库每日备份，原始观测不可变，模型和提示词升级必须保留版本，所有人工覆盖保留操作者、时间和理由。</w:t>
      </w:r>
    </w:p>
    <w:p>
      <w:pPr>
        <w:pStyle w:val="Heading1"/>
        <w:keepNext/>
        <w:keepLines/>
      </w:pPr>
      <w:r>
        <w:t>12. 风险登记与降级策略</w:t>
      </w:r>
    </w:p>
    <w:tbl>
      <w:tblPr>
        <w:tblStyle w:val="TableGrid"/>
        <w:jc w:val="left"/>
        <w:tblLook w:firstColumn="1" w:firstRow="1" w:lastColumn="0" w:lastRow="0" w:noHBand="0" w:noVBand="1" w:val="04A0"/>
        <w:tblW w:w="9360" w:type="dxa"/>
        <w:tblInd w:w="120" w:type="dxa"/>
        <w:tblLayout w:type="fixed"/>
      </w:tblPr>
      <w:tblGrid>
        <w:gridCol w:w="2000"/>
        <w:gridCol w:w="3000"/>
        <w:gridCol w:w="4360"/>
      </w:tblGrid>
      <w:tr>
        <w:trPr>
          <w:trHeight w:hRule="atLeast"/>
          <w:tblHeader w:val="true"/>
        </w:trPr>
        <w:tc>
          <w:tcPr>
            <w:tcW w:type="dxa" w:w="20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风险</w:t>
            </w:r>
          </w:p>
        </w:tc>
        <w:tc>
          <w:tcPr>
            <w:tcW w:type="dxa" w:w="30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影响</w:t>
            </w:r>
          </w:p>
        </w:tc>
        <w:tc>
          <w:tcPr>
            <w:tcW w:type="dxa" w:w="43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降级与验收</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模型幻觉或Schema漂移</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产生无依据声明</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严格Schema；引用覆盖校验；失败进入INSUFFICIENT</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提示词注入</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诱导越权工具调用</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不可信文本隔离；工具白名单；注入测试；无交易工具</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SEC限流或中断</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确认延迟</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10 req/s以下；缓存、退避、熔断；离线fixture</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聚合器不可用</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发现覆盖下降</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P2可关闭；P0/P1官方链路继续运行</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样本泄漏</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离线指标虚高</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按时间/发行人/事件链分组切分；测试集冻结</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人工审核成为瓶颈</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候选积压</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窄任务优先级、证据缺口队列、每族吞吐指标</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12天范围过大</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完不成展示</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优先NINEQ/WOLF2闭环；训练、Docker和更多来源为可选项</w:t>
            </w:r>
          </w:p>
        </w:tc>
      </w:tr>
      <w:tr>
        <w:trPr>
          <w:trHeight w:hRule="atLeast"/>
        </w:trPr>
        <w:tc>
          <w:tcPr>
            <w:tcW w:type="dxa" w:w="2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Git历史缺失</w:t>
            </w:r>
          </w:p>
        </w:tc>
        <w:tc>
          <w:tcPr>
            <w:tcW w:type="dxa" w:w="30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过程分丢失</w:t>
            </w:r>
          </w:p>
        </w:tc>
        <w:tc>
          <w:tcPr>
            <w:tcW w:type="dxa" w:w="4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Day 1建立真实baseline，后续不伪造历史、细粒度提交</w:t>
            </w:r>
          </w:p>
        </w:tc>
      </w:tr>
    </w:tbl>
    <w:p>
      <w:pPr>
        <w:widowControl/>
        <w:spacing w:before="0" w:after="40" w:line="240" w:lineRule="auto"/>
      </w:pPr>
    </w:p>
    <w:p>
      <w:r>
        <w:br w:type="page"/>
      </w:r>
    </w:p>
    <w:p>
      <w:pPr>
        <w:pStyle w:val="Heading1"/>
        <w:keepNext/>
        <w:keepLines/>
      </w:pPr>
      <w:r>
        <w:t>13. 交付物与最终验收</w:t>
      </w:r>
    </w:p>
    <w:tbl>
      <w:tblPr>
        <w:tblStyle w:val="TableGrid"/>
        <w:jc w:val="left"/>
        <w:tblLook w:firstColumn="1" w:firstRow="1" w:lastColumn="0" w:lastRow="0" w:noHBand="0" w:noVBand="1" w:val="04A0"/>
        <w:tblW w:w="9360" w:type="dxa"/>
        <w:tblInd w:w="120" w:type="dxa"/>
        <w:tblLayout w:type="fixed"/>
      </w:tblPr>
      <w:tblGrid>
        <w:gridCol w:w="1450"/>
        <w:gridCol w:w="4550"/>
        <w:gridCol w:w="3360"/>
      </w:tblGrid>
      <w:tr>
        <w:trPr>
          <w:trHeight w:hRule="atLeast"/>
          <w:tblHeader w:val="true"/>
        </w:trPr>
        <w:tc>
          <w:tcPr>
            <w:tcW w:type="dxa" w:w="14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类别</w:t>
            </w:r>
          </w:p>
        </w:tc>
        <w:tc>
          <w:tcPr>
            <w:tcW w:type="dxa" w:w="455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交付物</w:t>
            </w:r>
          </w:p>
        </w:tc>
        <w:tc>
          <w:tcPr>
            <w:tcW w:type="dxa" w:w="33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验收证据</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运行系统</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官方源采集、Evidence Agent、确定性安全门、事件账本、Streamlit、Telegram</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一键启动与离线replay</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数据与模型</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EventClaim/EvidenceEdge/AgentDecision；冻结金标；窄任务基线</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数据卡、切分清单、模型卡、指标报告</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工程</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有效Git、CI或本地质量门、测试、coverage、审计</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提交记录、232+测试、覆盖率≥80%、审计PASS</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过程</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3 Sprint、Backlog、每日站会、AI日志、评审记录</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过程包与个人贡献矩阵</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人主导设计</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架构、接口、数据模型、测试、部署</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5份签名/负责人明确的设计文档</w:t>
            </w:r>
          </w:p>
        </w:tc>
      </w:tr>
      <w:tr>
        <w:trPr>
          <w:trHeight w:hRule="atLeast"/>
        </w:trPr>
        <w:tc>
          <w:tcPr>
            <w:tcW w:type="dxa" w:w="14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答辩</w:t>
            </w:r>
          </w:p>
        </w:tc>
        <w:tc>
          <w:tcPr>
            <w:tcW w:type="dxa" w:w="455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三分钟主线、禁飞区走查、Bug注入、即兴修改</w:t>
            </w:r>
          </w:p>
        </w:tc>
        <w:tc>
          <w:tcPr>
            <w:tcW w:type="dxa" w:w="33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演示脚本、问题库、现场通过</w:t>
            </w:r>
          </w:p>
        </w:tc>
      </w:tr>
    </w:tbl>
    <w:p>
      <w:pPr>
        <w:widowControl/>
        <w:spacing w:before="0" w:after="40" w:line="240" w:lineRule="auto"/>
      </w:pPr>
    </w:p>
    <w:p>
      <w:pPr>
        <w:pStyle w:val="Heading2"/>
        <w:keepNext/>
        <w:keepLines/>
      </w:pPr>
      <w:r>
        <w:t>13.1 Definition of Done</w:t>
      </w:r>
    </w:p>
    <w:p>
      <w:pPr>
        <w:widowControl/>
        <w:numPr>
          <w:ilvl w:val="0"/>
          <w:numId w:val="10"/>
        </w:numPr>
        <w:spacing w:before="0" w:after="80" w:line="290" w:lineRule="auto"/>
        <w:jc w:val="left"/>
      </w:pPr>
      <w:r>
        <w:rPr>
          <w:rFonts w:ascii="Calibri" w:hAnsi="Calibri" w:eastAsia="Microsoft YaHei"/>
          <w:color w:val="1E293B"/>
          <w:sz w:val="22"/>
        </w:rPr>
        <w:t>功能有用户故事、验收标准、代码、测试、文档和可重复演示。</w:t>
      </w:r>
    </w:p>
    <w:p>
      <w:pPr>
        <w:widowControl/>
        <w:numPr>
          <w:ilvl w:val="0"/>
          <w:numId w:val="10"/>
        </w:numPr>
        <w:spacing w:before="0" w:after="80" w:line="290" w:lineRule="auto"/>
        <w:jc w:val="left"/>
      </w:pPr>
      <w:r>
        <w:rPr>
          <w:rFonts w:ascii="Calibri" w:hAnsi="Calibri" w:eastAsia="Microsoft YaHei"/>
          <w:color w:val="1E293B"/>
          <w:sz w:val="22"/>
        </w:rPr>
        <w:t>AI输出有Schema、证据引用、模型/提示词版本和完整trace_id。</w:t>
      </w:r>
    </w:p>
    <w:p>
      <w:pPr>
        <w:widowControl/>
        <w:numPr>
          <w:ilvl w:val="0"/>
          <w:numId w:val="10"/>
        </w:numPr>
        <w:spacing w:before="0" w:after="80" w:line="290" w:lineRule="auto"/>
        <w:jc w:val="left"/>
      </w:pPr>
      <w:r>
        <w:rPr>
          <w:rFonts w:ascii="Calibri" w:hAnsi="Calibri" w:eastAsia="Microsoft YaHei"/>
          <w:color w:val="1E293B"/>
          <w:sz w:val="22"/>
        </w:rPr>
        <w:t>任何重大结论都能回答“为什么确认、为什么不能确认、什么证据会改变结论”。</w:t>
      </w:r>
    </w:p>
    <w:p>
      <w:pPr>
        <w:widowControl/>
        <w:numPr>
          <w:ilvl w:val="0"/>
          <w:numId w:val="10"/>
        </w:numPr>
        <w:spacing w:before="0" w:after="80" w:line="290" w:lineRule="auto"/>
        <w:jc w:val="left"/>
      </w:pPr>
      <w:r>
        <w:rPr>
          <w:rFonts w:ascii="Calibri" w:hAnsi="Calibri" w:eastAsia="Microsoft YaHei"/>
          <w:color w:val="1E293B"/>
          <w:sz w:val="22"/>
        </w:rPr>
        <w:t>任何外部中断或模型失败都不能启用交易、自动升S或丢失原始观测。</w:t>
      </w:r>
    </w:p>
    <w:p>
      <w:pPr>
        <w:widowControl/>
        <w:numPr>
          <w:ilvl w:val="0"/>
          <w:numId w:val="10"/>
        </w:numPr>
        <w:spacing w:before="0" w:after="80" w:line="290" w:lineRule="auto"/>
        <w:jc w:val="left"/>
      </w:pPr>
      <w:r>
        <w:rPr>
          <w:rFonts w:ascii="Calibri" w:hAnsi="Calibri" w:eastAsia="Microsoft YaHei"/>
          <w:color w:val="1E293B"/>
          <w:sz w:val="22"/>
        </w:rPr>
        <w:t>每位成员能逐行解释本人禁飞区代码，并在30分钟内完成限定修改。</w:t>
      </w:r>
    </w:p>
    <w:p>
      <w:pPr>
        <w:pStyle w:val="Heading1"/>
        <w:keepNext/>
        <w:keepLines/>
      </w:pPr>
      <w:r>
        <w:t>14. 校方高分标准映射</w:t>
      </w:r>
    </w:p>
    <w:p>
      <w:pPr>
        <w:keepLines w:val="0"/>
        <w:widowControl/>
        <w:spacing w:before="0" w:after="160" w:line="320" w:lineRule="auto"/>
        <w:jc w:val="both"/>
      </w:pPr>
      <w:r>
        <w:rPr>
          <w:rFonts w:ascii="Calibri" w:hAnsi="Calibri" w:eastAsia="Microsoft YaHei"/>
          <w:color w:val="1E293B"/>
          <w:sz w:val="22"/>
        </w:rPr>
        <w:t>项目不以“功能很多”作为高分依据，而把每个评分点绑定到可查验产物。过程评价约占60%，因此Git、Sprint、AI日志、代码走查和团队协作与最终功能同等重要。</w:t>
      </w:r>
    </w:p>
    <w:tbl>
      <w:tblPr>
        <w:tblStyle w:val="TableGrid"/>
        <w:jc w:val="left"/>
        <w:tblLook w:firstColumn="1" w:firstRow="1" w:lastColumn="0" w:lastRow="0" w:noHBand="0" w:noVBand="1" w:val="04A0"/>
        <w:tblW w:w="9360" w:type="dxa"/>
        <w:tblInd w:w="120" w:type="dxa"/>
        <w:tblLayout w:type="fixed"/>
      </w:tblPr>
      <w:tblGrid>
        <w:gridCol w:w="1900"/>
        <w:gridCol w:w="4260"/>
        <w:gridCol w:w="3200"/>
      </w:tblGrid>
      <w:tr>
        <w:trPr>
          <w:trHeight w:hRule="atLeast"/>
          <w:tblHeader w:val="true"/>
        </w:trPr>
        <w:tc>
          <w:tcPr>
            <w:tcW w:type="dxa" w:w="19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评分维度</w:t>
            </w:r>
          </w:p>
        </w:tc>
        <w:tc>
          <w:tcPr>
            <w:tcW w:type="dxa" w:w="426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V3.0得分抓手</w:t>
            </w:r>
          </w:p>
        </w:tc>
        <w:tc>
          <w:tcPr>
            <w:tcW w:type="dxa" w:w="3200"/>
            <w:shd w:fill="F4F6F9"/>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2" w:lineRule="auto"/>
              <w:jc w:val="center"/>
            </w:pPr>
            <w:r>
              <w:rPr>
                <w:rFonts w:ascii="Calibri" w:hAnsi="Calibri" w:eastAsia="Microsoft YaHei"/>
                <w:b/>
                <w:color w:val="17365D"/>
                <w:sz w:val="19"/>
              </w:rPr>
              <w:t>现场证据</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工程实践</w:t>
            </w:r>
          </w:p>
        </w:tc>
        <w:tc>
          <w:tcPr>
            <w:tcW w:type="dxa" w:w="4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真实外部源、持久化、恢复、只读部署、完整垂直闭环</w:t>
            </w:r>
          </w:p>
        </w:tc>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运行系统、审计、replay</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AI代码审查/协作</w:t>
            </w:r>
          </w:p>
        </w:tc>
        <w:tc>
          <w:tcPr>
            <w:tcW w:type="dxa" w:w="4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AI日志、采纳/拒绝理由、轨迹评分、三处禁飞区</w:t>
            </w:r>
          </w:p>
        </w:tc>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Sprint记录、走查、个人解释</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工程规范</w:t>
            </w:r>
          </w:p>
        </w:tc>
        <w:tc>
          <w:tcPr>
            <w:tcW w:type="dxa" w:w="4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有效Git、.agent、5份设计、接口契约、覆盖率</w:t>
            </w:r>
          </w:p>
        </w:tc>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仓库、文档、测试报告</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团队协作</w:t>
            </w:r>
          </w:p>
        </w:tc>
        <w:tc>
          <w:tcPr>
            <w:tcW w:type="dxa" w:w="4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PO/SM/QA分工、Backlog、评审、个人贡献矩阵</w:t>
            </w:r>
          </w:p>
        </w:tc>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提交/评审/测试证据</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功能与创新</w:t>
            </w:r>
          </w:p>
        </w:tc>
        <w:tc>
          <w:tcPr>
            <w:tcW w:type="dxa" w:w="4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声明—证据—结论、时序身份、冲突与拒绝、消融实验</w:t>
            </w:r>
          </w:p>
        </w:tc>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NINEQ/WOLF2主演示与指标</w:t>
            </w:r>
          </w:p>
        </w:tc>
      </w:tr>
      <w:tr>
        <w:trPr>
          <w:trHeight w:hRule="atLeast"/>
        </w:trPr>
        <w:tc>
          <w:tcPr>
            <w:tcW w:type="dxa" w:w="19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答辩理解</w:t>
            </w:r>
          </w:p>
        </w:tc>
        <w:tc>
          <w:tcPr>
            <w:tcW w:type="dxa" w:w="426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三分钟主线、逐行代码、Bug注入、即兴修改</w:t>
            </w:r>
          </w:p>
        </w:tc>
        <w:tc>
          <w:tcPr>
            <w:tcW w:type="dxa" w:w="3200"/>
            <w:vAlign w:val="center"/>
            <w:tcMar>
              <w:top w:w="80" w:type="dxa"/>
              <w:start w:w="120" w:type="dxa"/>
              <w:bottom w:w="80" w:type="dxa"/>
              <w:end w:w="120" w:type="dxa"/>
            </w:tcMar>
            <w:tcBorders>
              <w:top w:val="single" w:sz="6" w:color="D7DEE8"/>
              <w:left w:val="single" w:sz="6" w:color="D7DEE8"/>
              <w:bottom w:val="single" w:sz="6" w:color="D7DEE8"/>
              <w:right w:val="single" w:sz="6" w:color="D7DEE8"/>
              <w:insideH w:val="single" w:sz="6" w:color="D7DEE8"/>
              <w:insideV w:val="single" w:sz="6" w:color="D7DEE8"/>
            </w:tcBorders>
          </w:tcPr>
          <w:p>
            <w:pPr>
              <w:widowControl/>
              <w:spacing w:before="0" w:after="0" w:line="259" w:lineRule="auto"/>
              <w:jc w:val="left"/>
            </w:pPr>
            <w:r>
              <w:rPr>
                <w:rFonts w:ascii="Calibri" w:hAnsi="Calibri" w:eastAsia="Microsoft YaHei"/>
                <w:b w:val="0"/>
                <w:color w:val="1E293B"/>
                <w:sz w:val="18"/>
              </w:rPr>
              <w:t>现场完成而非视频替代</w:t>
            </w:r>
          </w:p>
        </w:tc>
      </w:tr>
    </w:tbl>
    <w:p>
      <w:pPr>
        <w:widowControl/>
        <w:spacing w:before="0" w:after="40" w:line="240" w:lineRule="auto"/>
      </w:pPr>
    </w:p>
    <w:p>
      <w:pPr>
        <w:widowControl/>
        <w:spacing w:before="20" w:after="20" w:line="283" w:lineRule="auto"/>
        <w:ind w:left="115" w:right="115"/>
        <w:jc w:val="left"/>
        <w:shd w:fill="EDF7F0"/>
        <w:pBdr>
          <w:left w:val="single" w:sz="22" w:space="8" w:color="217346"/>
        </w:pBdr>
      </w:pPr>
      <w:r>
        <w:rPr>
          <w:rFonts w:ascii="Calibri" w:hAnsi="Calibri" w:eastAsia="Microsoft YaHei"/>
          <w:b/>
          <w:color w:val="217346"/>
          <w:sz w:val="21"/>
        </w:rPr>
        <w:t xml:space="preserve">预期档位  </w:t>
      </w:r>
      <w:r>
        <w:rPr>
          <w:rFonts w:ascii="Calibri" w:hAnsi="Calibri" w:eastAsia="Microsoft YaHei"/>
          <w:color w:val="1E293B"/>
          <w:sz w:val="21"/>
        </w:rPr>
        <w:t>若完成运行时AI、Dashboard、真实Git/Sprint过程、禁飞区掌握和可复现评测，项目具备90–95+的现实竞争力；最高档仍以教师现场评审和团队个人表现为准。</w:t>
      </w:r>
    </w:p>
    <w:p>
      <w:pPr>
        <w:widowControl/>
        <w:spacing w:before="0" w:after="80" w:line="240" w:lineRule="auto"/>
      </w:pPr>
    </w:p>
    <w:p>
      <w:pPr>
        <w:pStyle w:val="Heading1"/>
        <w:keepNext/>
        <w:keepLines/>
      </w:pPr>
      <w:r>
        <w:t>15. 立项结论</w:t>
      </w:r>
    </w:p>
    <w:p>
      <w:pPr>
        <w:keepLines w:val="0"/>
        <w:widowControl/>
        <w:spacing w:before="0" w:after="160" w:line="320" w:lineRule="auto"/>
        <w:jc w:val="both"/>
      </w:pPr>
      <w:r>
        <w:rPr>
          <w:rFonts w:ascii="Calibri" w:hAnsi="Calibri" w:eastAsia="Microsoft YaHei"/>
          <w:color w:val="1E293B"/>
          <w:sz w:val="22"/>
        </w:rPr>
        <w:t>Finance Radar最有价值的部分不是来源数量，也不是追求毫秒级宣传，而是已经形成了真实事件、证据版本和困难负样本。V3.0将这套底座重构为一个真正进入核心业务的Evidence Agent：模型负责理解与研究，确定性代码负责边界与安全，人负责重大结论，评测负责证明系统是否真的变好。</w:t>
      </w:r>
    </w:p>
    <w:p>
      <w:pPr>
        <w:keepLines w:val="0"/>
        <w:widowControl/>
        <w:spacing w:before="0" w:after="160" w:line="320" w:lineRule="auto"/>
        <w:jc w:val="both"/>
      </w:pPr>
      <w:r>
        <w:rPr>
          <w:rFonts w:ascii="Calibri" w:hAnsi="Calibri" w:eastAsia="Microsoft YaHei"/>
          <w:color w:val="1E293B"/>
          <w:sz w:val="22"/>
        </w:rPr>
        <w:t>因此，本项目适合以“基于多源证据链与时序真值校验的金融事件情报Agent”申报自主高难度创新项目。最小成功不是做出一个漂亮新闻列表，而是完成一条任何人都能复核的链路：发现一条消息，拆出声明，找到或找不到权威证据，解释冲突，更新事件版本，并在证据不足时可靠地停下来。</w:t>
      </w:r>
    </w:p>
    <w:p>
      <w:pPr>
        <w:widowControl/>
        <w:spacing w:before="20" w:after="20" w:line="283" w:lineRule="auto"/>
        <w:ind w:left="115" w:right="115"/>
        <w:jc w:val="left"/>
        <w:shd w:fill="EAF2F8"/>
        <w:pBdr>
          <w:left w:val="single" w:sz="22" w:space="8" w:color="2E74B5"/>
        </w:pBdr>
      </w:pPr>
      <w:r>
        <w:rPr>
          <w:rFonts w:ascii="Calibri" w:hAnsi="Calibri" w:eastAsia="Microsoft YaHei"/>
          <w:b/>
          <w:color w:val="2E74B5"/>
          <w:sz w:val="21"/>
        </w:rPr>
        <w:t xml:space="preserve">最终取舍  </w:t>
      </w:r>
      <w:r>
        <w:rPr>
          <w:rFonts w:ascii="Calibri" w:hAnsi="Calibri" w:eastAsia="Microsoft YaHei"/>
          <w:color w:val="1E293B"/>
          <w:sz w:val="21"/>
        </w:rPr>
        <w:t>优先做深一条可证明的事件闭环，再扩展来源和模型；优先做可复现评测，再追求更高分数；优先让评委看懂为什么系统拒绝，再展示它能生成什么。</w:t>
      </w:r>
    </w:p>
    <w:p>
      <w:pPr>
        <w:widowControl/>
        <w:spacing w:before="0" w:after="80" w:line="240" w:lineRule="auto"/>
      </w:pPr>
    </w:p>
    <w:p>
      <w:pPr>
        <w:pStyle w:val="Heading1"/>
        <w:keepNext/>
        <w:keepLines/>
      </w:pPr>
      <w:r>
        <w:t>16. 主要依据与参考资料</w:t>
      </w:r>
    </w:p>
    <w:p>
      <w:pPr>
        <w:widowControl/>
        <w:spacing w:before="0" w:after="80" w:line="276" w:lineRule="auto"/>
        <w:jc w:val="left"/>
      </w:pPr>
      <w:r>
        <w:rPr>
          <w:rFonts w:ascii="Calibri" w:hAnsi="Calibri" w:eastAsia="Microsoft YaHei"/>
          <w:color w:val="1E293B"/>
          <w:sz w:val="19"/>
        </w:rPr>
        <w:t>[1] 北京林业大学2026实训动员会（本地课程文件）：</w:t>
      </w:r>
    </w:p>
    <w:p>
      <w:pPr>
        <w:widowControl/>
        <w:spacing w:before="0" w:after="80" w:line="276" w:lineRule="auto"/>
        <w:jc w:val="left"/>
      </w:pPr>
      <w:r>
        <w:rPr>
          <w:rFonts w:ascii="Calibri" w:hAnsi="Calibri" w:eastAsia="Microsoft YaHei"/>
          <w:color w:val="1E293B"/>
          <w:sz w:val="19"/>
        </w:rPr>
        <w:t>[2] 北京林业大学理学院2026年实现项目列表（本地课程文件）：</w:t>
      </w:r>
    </w:p>
    <w:p>
      <w:pPr>
        <w:widowControl/>
        <w:spacing w:before="0" w:after="80" w:line="276" w:lineRule="auto"/>
        <w:jc w:val="left"/>
      </w:pPr>
      <w:r>
        <w:rPr>
          <w:rFonts w:ascii="Calibri" w:hAnsi="Calibri" w:eastAsia="Microsoft YaHei"/>
          <w:color w:val="1E293B"/>
          <w:sz w:val="19"/>
        </w:rPr>
        <w:t>[3] LangGraph Overview and Persistence：</w:t>
      </w:r>
      <w:hyperlink r:id="rId12">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[4] LangGraph Human-in-the-loop：</w:t>
      </w:r>
      <w:hyperlink r:id="rId13">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[5] SEC Developer Resources and Fair Access：</w:t>
      </w:r>
      <w:hyperlink r:id="rId14">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[6] NIST AI 600-1 Generative AI Profile：</w:t>
      </w:r>
      <w:hyperlink r:id="rId15">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[7] RAGAS: Automated Evaluation of Retrieval Augmented Generation：</w:t>
      </w:r>
      <w:hyperlink r:id="rId16">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[8] FActScore: Fine-grained Atomic Evaluation of Factual Precision：</w:t>
      </w:r>
      <w:hyperlink r:id="rId17">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[9] ALCE: Enabling Large Language Models to Generate Text with Citations：</w:t>
      </w:r>
      <w:hyperlink r:id="rId18">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[10] W3C PROV-O: The PROV Ontology：</w:t>
      </w:r>
      <w:hyperlink r:id="rId19">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[11] OpenAI practical guide to building agents：</w:t>
      </w:r>
      <w:hyperlink r:id="rId20">
        <w:r>
          <w:rPr>
            <w:rFonts w:ascii="Calibri" w:hAnsi="Calibri" w:eastAsia="Microsoft YaHei"/>
            <w:color w:val="2E74B5"/>
            <w:u w:val="single"/>
          </w:rPr>
          <w:t>查看来源</w:t>
        </w:r>
      </w:hyperlink>
    </w:p>
    <w:p>
      <w:pPr>
        <w:widowControl/>
        <w:spacing w:before="0" w:after="80" w:line="276" w:lineRule="auto"/>
        <w:jc w:val="left"/>
      </w:pPr>
      <w:r>
        <w:rPr>
          <w:rFonts w:ascii="Calibri" w:hAnsi="Calibri" w:eastAsia="Microsoft YaHei"/>
          <w:color w:val="1E293B"/>
          <w:sz w:val="19"/>
        </w:rPr>
        <w:t>[12] OpenNews MCP：</w:t>
      </w:r>
      <w:hyperlink r:id="rId21">
        <w:r>
          <w:rPr>
            <w:rFonts w:ascii="Calibri" w:hAnsi="Calibri" w:eastAsia="Microsoft YaHei"/>
            <w:color w:val="2E74B5"/>
            <w:u w:val="single"/>
          </w:rPr>
          <w:t>查看来源</w:t>
        </w:r>
      </w:hyperlink>
    </w:p>
    <w:p>
      <w:pPr>
        <w:keepLines w:val="0"/>
        <w:widowControl/>
        <w:spacing w:before="0" w:after="160" w:line="320" w:lineRule="auto"/>
        <w:jc w:val="left"/>
      </w:pPr>
      <w:r>
        <w:rPr>
          <w:rFonts w:ascii="Calibri" w:hAnsi="Calibri" w:eastAsia="Microsoft YaHei"/>
          <w:color w:val="667085"/>
          <w:sz w:val="18"/>
        </w:rPr>
        <w:t>注：第1、2项为本地课程文件名，未上传互联网；项目交付包中保留原文件。其余链接用于架构、风险治理与评测方法研究，不代表对相关服务形成强依赖。</w:t>
      </w:r>
    </w:p>
    <w:p>
      <w:pPr>
        <w:keepLines w:val="0"/>
        <w:widowControl/>
        <w:spacing w:before="480" w:after="0" w:line="240" w:lineRule="auto"/>
        <w:jc w:val="center"/>
      </w:pPr>
      <w:r>
        <w:rPr>
          <w:rFonts w:ascii="Calibri" w:hAnsi="Calibri" w:eastAsia="Microsoft YaHei"/>
          <w:color w:val="667085"/>
          <w:sz w:val="18"/>
        </w:rPr>
        <w:t>— 文档结束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eastAsia="Microsoft YaHei"/>
        <w:color w:val="667085"/>
        <w:sz w:val="18"/>
      </w:rPr>
      <w:t xml:space="preserve">北京林业大学理学院2026实训  ·  研究与监控用途  ·  </w:t>
    </w:r>
    <w:r>
      <w:rPr>
        <w:rFonts w:ascii="Calibri" w:hAnsi="Calibri" w:eastAsia="Microsoft YaHe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rFonts w:ascii="Calibri" w:hAnsi="Calibri" w:eastAsia="Microsoft YaHei"/>
        <w:b/>
        <w:color w:val="667085"/>
        <w:sz w:val="17"/>
      </w:rPr>
      <w:t>FINANCE RADAR  ·  HIGH-DIFFICULTY PROJECT PROPOSAL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eastAsia="Microsoft YaHei"/>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eastAsia="Microsoft YaHe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langchain.com/oss/python/langgraph/overview" TargetMode="External"/><Relationship Id="rId13" Type="http://schemas.openxmlformats.org/officeDocument/2006/relationships/hyperlink" Target="https://docs.langchain.com/oss/python/langchain/human-in-the-loop" TargetMode="External"/><Relationship Id="rId14" Type="http://schemas.openxmlformats.org/officeDocument/2006/relationships/hyperlink" Target="https://www.sec.gov/about/developer-resources" TargetMode="External"/><Relationship Id="rId15" Type="http://schemas.openxmlformats.org/officeDocument/2006/relationships/hyperlink" Target="https://nvlpubs.nist.gov/nistpubs/ai/NIST.AI.600-1.pdf" TargetMode="External"/><Relationship Id="rId16" Type="http://schemas.openxmlformats.org/officeDocument/2006/relationships/hyperlink" Target="https://aclanthology.org/2024.eacl-demo.16/" TargetMode="External"/><Relationship Id="rId17" Type="http://schemas.openxmlformats.org/officeDocument/2006/relationships/hyperlink" Target="https://aclanthology.org/2023.emnlp-main.741/" TargetMode="External"/><Relationship Id="rId18" Type="http://schemas.openxmlformats.org/officeDocument/2006/relationships/hyperlink" Target="https://aclanthology.org/2023.emnlp-main.398/" TargetMode="External"/><Relationship Id="rId19" Type="http://schemas.openxmlformats.org/officeDocument/2006/relationships/hyperlink" Target="https://www.w3.org/TR/prov-o/" TargetMode="External"/><Relationship Id="rId20" Type="http://schemas.openxmlformats.org/officeDocument/2006/relationships/hyperlink" Target="https://openai.com/business/guides-and-resources/a-practical-guide-to-building-ai-agents/" TargetMode="External"/><Relationship Id="rId21" Type="http://schemas.openxmlformats.org/officeDocument/2006/relationships/hyperlink" Target="https://github.com/6551team/opennews-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基于多源证据链与时序真值校验的金融事件情报 Agent</dc:title>
  <dc:subject>北京林业大学理学院2026实训高难度自主选题项目计划书</dc:subject>
  <dc:creator>Finance Radar Project Team</dc:creator>
  <cp:keywords>Finance Radar, Evidence Agent, Financial Event Intelligence, LangGraph, Audit</cp:keywords>
  <dc:description>generated by python-docx</dc:description>
  <cp:lastModifiedBy/>
  <cp:revision>1</cp:revision>
  <dcterms:created xsi:type="dcterms:W3CDTF">2013-12-23T23:15:00Z</dcterms:created>
  <dcterms:modified xsi:type="dcterms:W3CDTF">2013-12-23T23:15:00Z</dcterms:modified>
  <cp:category/>
</cp:coreProperties>
</file>