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 w:val="0"/>
        <w:widowControl/>
        <w:spacing w:before="680" w:after="320" w:line="240" w:lineRule="auto"/>
        <w:jc w:val="center"/>
      </w:pPr>
      <w:r>
        <w:rPr>
          <w:rFonts w:ascii="Calibri" w:hAnsi="Calibri" w:eastAsia="Microsoft YaHei"/>
          <w:color w:val="2E74B5"/>
          <w:sz w:val="21"/>
        </w:rPr>
        <w:t>HIGH-DIFFICULTY PROJECT PROPOSAL  ·  V4.0</w:t>
      </w:r>
    </w:p>
    <w:p>
      <w:pPr>
        <w:widowControl/>
        <w:spacing w:before="0" w:after="180" w:line="252" w:lineRule="auto"/>
        <w:jc w:val="center"/>
      </w:pPr>
      <w:r>
        <w:rPr>
          <w:rFonts w:ascii="Calibri" w:hAnsi="Calibri" w:eastAsia="Microsoft YaHei"/>
          <w:b/>
          <w:color w:val="17365D"/>
          <w:sz w:val="42"/>
        </w:rPr>
        <w:t>基于多源证据链与实时 Web 控制台的</w:t>
      </w:r>
    </w:p>
    <w:p>
      <w:pPr>
        <w:widowControl/>
        <w:spacing w:before="0" w:after="200" w:line="252" w:lineRule="auto"/>
        <w:jc w:val="center"/>
      </w:pPr>
      <w:r>
        <w:rPr>
          <w:rFonts w:ascii="Calibri" w:hAnsi="Calibri" w:eastAsia="Microsoft YaHei"/>
          <w:b/>
          <w:color w:val="17365D"/>
          <w:sz w:val="60"/>
        </w:rPr>
        <w:t>金融事件情报 Agent</w:t>
      </w:r>
    </w:p>
    <w:p>
      <w:pPr>
        <w:widowControl/>
        <w:spacing w:before="0" w:after="160" w:line="276" w:lineRule="auto"/>
        <w:jc w:val="center"/>
      </w:pPr>
      <w:r>
        <w:rPr>
          <w:rFonts w:ascii="Calibri" w:hAnsi="Calibri" w:eastAsia="Microsoft YaHei"/>
          <w:color w:val="1F4D78"/>
          <w:sz w:val="26"/>
        </w:rPr>
        <w:t>全极性事实核验 · 重大下行风险路由 · 历史证据账本 · 可审计回放</w:t>
      </w:r>
    </w:p>
    <w:p>
      <w:pPr>
        <w:widowControl/>
        <w:spacing w:before="0" w:after="480" w:line="276" w:lineRule="auto"/>
        <w:jc w:val="center"/>
      </w:pPr>
      <w:r>
        <w:rPr>
          <w:rFonts w:ascii="Calibri" w:hAnsi="Calibri" w:eastAsia="Microsoft YaHei"/>
          <w:i/>
          <w:color w:val="667085"/>
          <w:sz w:val="22"/>
        </w:rPr>
        <w:t>自主高难度创新选题申报稿 / 95+ 交付蓝图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4680"/>
        <w:gridCol w:w="4680"/>
      </w:tblGrid>
      <w:tr>
        <w:trPr>
          <w:trHeight w:hRule="atLeast"/>
          <w:tblHeader w:val="true"/>
        </w:trPr>
        <w:tc>
          <w:tcPr>
            <w:tcW w:type="dxa" w:w="468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4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667085"/>
                <w:sz w:val="17"/>
              </w:rPr>
              <w:t>版本</w:t>
              <w:br/>
            </w:r>
            <w:r>
              <w:rPr>
                <w:rFonts w:ascii="Calibri" w:hAnsi="Calibri" w:eastAsia="Microsoft YaHei"/>
                <w:b/>
                <w:color w:val="17365D"/>
                <w:sz w:val="20"/>
              </w:rPr>
              <w:t>V4.0</w:t>
            </w:r>
          </w:p>
        </w:tc>
        <w:tc>
          <w:tcPr>
            <w:tcW w:type="dxa" w:w="468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4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667085"/>
                <w:sz w:val="17"/>
              </w:rPr>
              <w:t>编制日期</w:t>
              <w:br/>
            </w:r>
            <w:r>
              <w:rPr>
                <w:rFonts w:ascii="Calibri" w:hAnsi="Calibri" w:eastAsia="Microsoft YaHei"/>
                <w:b/>
                <w:color w:val="17365D"/>
                <w:sz w:val="20"/>
              </w:rPr>
              <w:t>2026年7月17日</w:t>
            </w:r>
          </w:p>
        </w:tc>
      </w:tr>
      <w:tr>
        <w:trPr>
          <w:trHeight w:hRule="atLeast"/>
        </w:trPr>
        <w:tc>
          <w:tcPr>
            <w:tcW w:type="dxa" w:w="468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4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667085"/>
                <w:sz w:val="17"/>
              </w:rPr>
              <w:t>主展示</w:t>
              <w:br/>
            </w:r>
            <w:r>
              <w:rPr>
                <w:rFonts w:ascii="Calibri" w:hAnsi="Calibri" w:eastAsia="Microsoft YaHei"/>
                <w:b/>
                <w:color w:val="17365D"/>
                <w:sz w:val="20"/>
              </w:rPr>
              <w:t>Web Situation Room</w:t>
            </w:r>
          </w:p>
        </w:tc>
        <w:tc>
          <w:tcPr>
            <w:tcW w:type="dxa" w:w="468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4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667085"/>
                <w:sz w:val="17"/>
              </w:rPr>
              <w:t>通知出口</w:t>
              <w:br/>
            </w:r>
            <w:r>
              <w:rPr>
                <w:rFonts w:ascii="Calibri" w:hAnsi="Calibri" w:eastAsia="Microsoft YaHei"/>
                <w:b/>
                <w:color w:val="17365D"/>
                <w:sz w:val="20"/>
              </w:rPr>
              <w:t>Telegram 深链接</w:t>
            </w:r>
          </w:p>
        </w:tc>
      </w:tr>
      <w:tr>
        <w:trPr>
          <w:trHeight w:hRule="atLeast"/>
        </w:trPr>
        <w:tc>
          <w:tcPr>
            <w:tcW w:type="dxa" w:w="468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4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667085"/>
                <w:sz w:val="17"/>
              </w:rPr>
              <w:t>部署目标</w:t>
              <w:br/>
            </w:r>
            <w:r>
              <w:rPr>
                <w:rFonts w:ascii="Calibri" w:hAnsi="Calibri" w:eastAsia="Microsoft YaHei"/>
                <w:b/>
                <w:color w:val="17365D"/>
                <w:sz w:val="20"/>
              </w:rPr>
              <w:t>新加坡 VPS + 本地回放</w:t>
            </w:r>
          </w:p>
        </w:tc>
        <w:tc>
          <w:tcPr>
            <w:tcW w:type="dxa" w:w="468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4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667085"/>
                <w:sz w:val="17"/>
              </w:rPr>
              <w:t>交易权限</w:t>
              <w:br/>
            </w:r>
            <w:r>
              <w:rPr>
                <w:rFonts w:ascii="Calibri" w:hAnsi="Calibri" w:eastAsia="Microsoft YaHei"/>
                <w:b/>
                <w:color w:val="17365D"/>
                <w:sz w:val="20"/>
              </w:rPr>
              <w:t>无；全部只读</w:t>
            </w:r>
          </w:p>
        </w:tc>
      </w:tr>
    </w:tbl>
    <w:p>
      <w:pPr>
        <w:keepLines w:val="0"/>
        <w:widowControl/>
        <w:spacing w:before="0" w:after="360" w:line="240" w:lineRule="auto"/>
        <w:jc w:val="both"/>
      </w:pPr>
      <w:r>
        <w:rPr>
          <w:rFonts w:ascii="Calibri" w:hAnsi="Calibri" w:eastAsia="Microsoft YaHei"/>
          <w:color w:val="1E293B"/>
          <w:sz w:val="22"/>
        </w:rPr>
      </w:r>
    </w:p>
    <w:p>
      <w:pPr>
        <w:widowControl/>
        <w:spacing w:before="20" w:after="20" w:line="283" w:lineRule="auto"/>
        <w:ind w:left="115" w:right="115"/>
        <w:jc w:val="left"/>
        <w:shd w:fill="EAF2F8"/>
        <w:pBdr>
          <w:left w:val="single" w:sz="22" w:space="8" w:color="2E74B5"/>
        </w:pBdr>
      </w:pPr>
      <w:r>
        <w:rPr>
          <w:rFonts w:ascii="Calibri" w:hAnsi="Calibri" w:eastAsia="Microsoft YaHei"/>
          <w:b/>
          <w:color w:val="2E74B5"/>
          <w:sz w:val="21"/>
        </w:rPr>
        <w:t xml:space="preserve">一句话价值  </w:t>
      </w:r>
      <w:r>
        <w:rPr>
          <w:rFonts w:ascii="Calibri" w:hAnsi="Calibri" w:eastAsia="Microsoft YaHei"/>
          <w:color w:val="1E293B"/>
          <w:sz w:val="21"/>
        </w:rPr>
        <w:t>系统不预测涨跌，也不执行交易；它持续发现金融事件，保存原始历史，拆解原子声明，寻找一手证据，解释支持、反驳与不足，并把完整轨迹呈现在网页情报台。</w:t>
      </w:r>
    </w:p>
    <w:p>
      <w:pPr>
        <w:widowControl/>
        <w:spacing w:before="0" w:after="80" w:line="240" w:lineRule="auto"/>
      </w:pPr>
    </w:p>
    <w:p>
      <w:pPr>
        <w:keepLines w:val="0"/>
        <w:widowControl/>
        <w:spacing w:before="280" w:after="0" w:line="240" w:lineRule="auto"/>
        <w:jc w:val="center"/>
      </w:pPr>
      <w:r>
        <w:rPr>
          <w:rFonts w:ascii="Calibri" w:hAnsi="Calibri" w:eastAsia="Microsoft YaHei"/>
          <w:color w:val="667085"/>
          <w:sz w:val="19"/>
        </w:rPr>
        <w:t>V4.0 严格区分“当前已验证”和“计划交付”。服务器、网页、小模型和回放只有在实际部署、测试和留痕后才可作为成果申报。</w:t>
      </w:r>
    </w:p>
    <w:p>
      <w:r>
        <w:br w:type="page"/>
      </w:r>
    </w:p>
    <w:p>
      <w:pPr>
        <w:pStyle w:val="Heading1"/>
        <w:keepNext/>
        <w:keepLines/>
      </w:pPr>
      <w:r>
        <w:t>执行摘要</w:t>
      </w:r>
    </w:p>
    <w:p>
      <w:pPr>
        <w:keepLines w:val="0"/>
        <w:widowControl/>
        <w:spacing w:before="0" w:after="160" w:line="320" w:lineRule="auto"/>
        <w:jc w:val="both"/>
      </w:pPr>
      <w:r>
        <w:rPr>
          <w:rFonts w:ascii="Calibri" w:hAnsi="Calibri" w:eastAsia="Microsoft YaHei"/>
          <w:color w:val="1E293B"/>
          <w:sz w:val="22"/>
        </w:rPr>
        <w:t>Finance Radar 的核心不是“聚合更多新闻”，而是把消息变成可复核的事件版本：谁在什么时间发布了什么，哪些原子声明得到哪份一手材料支持，哪些仍有冲突或证据不足，证券身份和法律阶段是否发生变化。V4.0 在既有事件账本与安全规则之上，增加网页版情报终端、服务器持续运行、历史持久化、备份恢复、小模型风险路由和三模式可审计演示，使项目从研究原型升级为可部署课程产品。</w:t>
      </w:r>
    </w:p>
    <w:p>
      <w:pPr>
        <w:widowControl/>
        <w:spacing w:before="20" w:after="20" w:line="283" w:lineRule="auto"/>
        <w:ind w:left="115" w:right="115"/>
        <w:jc w:val="left"/>
        <w:shd w:fill="EDF7F0"/>
        <w:pBdr>
          <w:left w:val="single" w:sz="22" w:space="8" w:color="217346"/>
        </w:pBdr>
      </w:pPr>
      <w:r>
        <w:rPr>
          <w:rFonts w:ascii="Calibri" w:hAnsi="Calibri" w:eastAsia="Microsoft YaHei"/>
          <w:b/>
          <w:color w:val="217346"/>
          <w:sz w:val="21"/>
        </w:rPr>
        <w:t xml:space="preserve">申报判断  </w:t>
      </w:r>
      <w:r>
        <w:rPr>
          <w:rFonts w:ascii="Calibri" w:hAnsi="Calibri" w:eastAsia="Microsoft YaHei"/>
          <w:color w:val="1E293B"/>
          <w:sz w:val="21"/>
        </w:rPr>
        <w:t>题目本身具备自主高难度创新级潜力；当前成品仍不是95分交付态。完成本任务书的硬门后，92–96分是现实竞争区间；要稳定争取95+，还必须在Day 1获得高难度认定，并通过过程规范、禁飞区讲解、Bug盲测、即兴修改和个人代码理解考核。</w:t>
      </w:r>
    </w:p>
    <w:p>
      <w:pPr>
        <w:widowControl/>
        <w:spacing w:before="0" w:after="80" w:line="240" w:lineRule="auto"/>
      </w:pPr>
    </w:p>
    <w:p>
      <w:pPr>
        <w:pStyle w:val="Heading2"/>
        <w:keepNext/>
        <w:keepLines/>
      </w:pPr>
      <w:r>
        <w:t>V4.0 的五个不可替代升级</w:t>
      </w:r>
    </w:p>
    <w:p>
      <w:pPr>
        <w:widowControl/>
        <w:numPr>
          <w:ilvl w:val="0"/>
          <w:numId w:val="10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主终端升级：Web Situation Room 成为正式展示面，Telegram 仅负责高优先级提醒和深链接。</w:t>
      </w:r>
    </w:p>
    <w:p>
      <w:pPr>
        <w:widowControl/>
        <w:numPr>
          <w:ilvl w:val="0"/>
          <w:numId w:val="10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运行形态升级：新加坡 VPS 7×24小时运行 HTTPS、Web、只读 API、采集 Worker 与模型。</w:t>
      </w:r>
    </w:p>
    <w:p>
      <w:pPr>
        <w:widowControl/>
        <w:numPr>
          <w:ilvl w:val="0"/>
          <w:numId w:val="10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数据生命周期升级：服务器持久卷保存历史账本、证据快照、模型轨迹，具有日备份、哈希和恢复演练。</w:t>
      </w:r>
    </w:p>
    <w:p>
      <w:pPr>
        <w:widowControl/>
        <w:numPr>
          <w:ilvl w:val="0"/>
          <w:numId w:val="10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AI闭环升级：LLM Evidence Agent 负责声明与证据语义工作；CPU小模型只做重大下行风险审核路由。</w:t>
      </w:r>
    </w:p>
    <w:p>
      <w:pPr>
        <w:widowControl/>
        <w:numPr>
          <w:ilvl w:val="0"/>
          <w:numId w:val="10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答辩确定性升级：LIVE、RECENT_CAPTURE、REPLAY 分工，彻底消除“现场恰好没有SEC事件”的演示风险。</w:t>
      </w:r>
    </w:p>
    <w:p>
      <w:pPr>
        <w:pStyle w:val="Heading2"/>
        <w:keepNext/>
        <w:keepLines/>
      </w:pPr>
      <w:r>
        <w:t>阅读导航</w:t>
      </w:r>
    </w:p>
    <w:p>
      <w:pPr>
        <w:keepLines w:val="0"/>
        <w:widowControl/>
        <w:spacing w:before="0" w:after="160" w:line="320" w:lineRule="auto"/>
        <w:jc w:val="left"/>
      </w:pPr>
      <w:r>
        <w:rPr>
          <w:rFonts w:ascii="Calibri" w:hAnsi="Calibri" w:eastAsia="Microsoft YaHei"/>
          <w:color w:val="667085"/>
          <w:sz w:val="19"/>
        </w:rPr>
        <w:t>产品与网页见第2–3章；服务器、账本与恢复见第4–5章；模型与AI边界见第6–7章；演示协议见第8章；禁飞区、工程过程和95+验收见第10–17章。</w:t>
      </w:r>
    </w:p>
    <w:p>
      <w:pPr>
        <w:pStyle w:val="Heading1"/>
        <w:keepNext/>
        <w:keepLines/>
      </w:pPr>
      <w:r>
        <w:t>1. 当前基线与V4目标</w:t>
      </w:r>
    </w:p>
    <w:p>
      <w:pPr>
        <w:pStyle w:val="Heading2"/>
        <w:keepNext/>
        <w:keepLines/>
      </w:pPr>
      <w:r>
        <w:t>1.1 已验证的真实基础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5060"/>
        <w:gridCol w:w="1600"/>
      </w:tblGrid>
      <w:tr>
        <w:trPr>
          <w:trHeight w:hRule="atLeast"/>
          <w:tblHeader w:val="true"/>
          <w:cantSplit w:val="true"/>
        </w:trPr>
        <w:tc>
          <w:tcPr>
            <w:tcW w:type="dxa" w:w="27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能力 / 证据</w:t>
            </w:r>
          </w:p>
        </w:tc>
        <w:tc>
          <w:tcPr>
            <w:tcW w:type="dxa" w:w="50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当前核验值</w:t>
            </w:r>
          </w:p>
        </w:tc>
        <w:tc>
          <w:tcPr>
            <w:tcW w:type="dxa" w:w="16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状态</w:t>
            </w:r>
          </w:p>
        </w:tc>
      </w:tr>
      <w:tr>
        <w:trPr>
          <w:trHeight w:hRule="atLeast"/>
          <w:cantSplit w:val="true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SQLite 数据模式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Schema 12；原始观测、修订、事件版本、证据、任务、outbox、租约、来源游标</w:t>
            </w:r>
          </w:p>
        </w:tc>
        <w:tc>
          <w:tcPr>
            <w:tcW w:type="dxa" w:w="1600"/>
            <w:shd w:fill="EDF7F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17346"/>
                <w:sz w:val="17"/>
              </w:rPr>
              <w:t>已实现</w:t>
            </w:r>
          </w:p>
        </w:tc>
      </w:tr>
      <w:tr>
        <w:trPr>
          <w:trHeight w:hRule="atLeast"/>
          <w:cantSplit w:val="true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来源与数据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18个来源；1,160个规范事件；3,556条原始观测；710条来源修订</w:t>
            </w:r>
          </w:p>
        </w:tc>
        <w:tc>
          <w:tcPr>
            <w:tcW w:type="dxa" w:w="1600"/>
            <w:shd w:fill="EDF7F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17346"/>
                <w:sz w:val="17"/>
              </w:rPr>
              <w:t>已实现</w:t>
            </w:r>
          </w:p>
        </w:tc>
      </w:tr>
      <w:tr>
        <w:trPr>
          <w:trHeight w:hRule="atLeast"/>
          <w:cantSplit w:val="true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审计历史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2,081个事件版本；2,386条证据；1,898条只读行情审计指标</w:t>
            </w:r>
          </w:p>
        </w:tc>
        <w:tc>
          <w:tcPr>
            <w:tcW w:type="dxa" w:w="1600"/>
            <w:shd w:fill="EDF7F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17346"/>
                <w:sz w:val="17"/>
              </w:rPr>
              <w:t>已实现</w:t>
            </w:r>
          </w:p>
        </w:tc>
      </w:tr>
      <w:tr>
        <w:trPr>
          <w:trHeight w:hRule="atLeast"/>
          <w:cantSplit w:val="true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自动测试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232项测试全过；安全审计PASS；交易违规0</w:t>
            </w:r>
          </w:p>
        </w:tc>
        <w:tc>
          <w:tcPr>
            <w:tcW w:type="dxa" w:w="1600"/>
            <w:shd w:fill="EDF7F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17346"/>
                <w:sz w:val="17"/>
              </w:rPr>
              <w:t>已实现</w:t>
            </w:r>
          </w:p>
        </w:tc>
      </w:tr>
      <w:tr>
        <w:trPr>
          <w:trHeight w:hRule="atLeast"/>
          <w:cantSplit w:val="true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VPS/Web/API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尚无持续Worker、Web终端、FastAPI、Compose运行证据</w:t>
            </w:r>
          </w:p>
        </w:tc>
        <w:tc>
          <w:tcPr>
            <w:tcW w:type="dxa" w:w="1600"/>
            <w:shd w:fill="FFF7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9A6700"/>
                <w:sz w:val="17"/>
              </w:rPr>
              <w:t>计划实现</w:t>
            </w:r>
          </w:p>
        </w:tc>
      </w:tr>
      <w:tr>
        <w:trPr>
          <w:trHeight w:hRule="atLeast"/>
          <w:cantSplit w:val="true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运行时模型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尚无实际LLM闭环和训练后小模型；792条裁决为下行风险语料，不是交易标签</w:t>
            </w:r>
          </w:p>
        </w:tc>
        <w:tc>
          <w:tcPr>
            <w:tcW w:type="dxa" w:w="1600"/>
            <w:shd w:fill="FFF7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9A6700"/>
                <w:sz w:val="17"/>
              </w:rPr>
              <w:t>计划实现</w:t>
            </w:r>
          </w:p>
        </w:tc>
      </w:tr>
      <w:tr>
        <w:trPr>
          <w:trHeight w:hRule="atLeast"/>
          <w:cantSplit w:val="true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课程过程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有效Git、.agent、coverage和正式Sprint证据尚未建立</w:t>
            </w:r>
          </w:p>
        </w:tc>
        <w:tc>
          <w:tcPr>
            <w:tcW w:type="dxa" w:w="1600"/>
            <w:shd w:fill="FFF7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9A6700"/>
                <w:sz w:val="17"/>
              </w:rPr>
              <w:t>待补齐</w:t>
            </w:r>
          </w:p>
        </w:tc>
      </w:tr>
    </w:tbl>
    <w:p>
      <w:pPr>
        <w:widowControl/>
        <w:spacing w:before="0" w:after="40" w:line="240" w:lineRule="auto"/>
      </w:pPr>
    </w:p>
    <w:p>
      <w:pPr>
        <w:widowControl/>
        <w:spacing w:before="20" w:after="20" w:line="283" w:lineRule="auto"/>
        <w:ind w:left="115" w:right="115"/>
        <w:jc w:val="left"/>
        <w:shd w:fill="FFF7E6"/>
        <w:pBdr>
          <w:left w:val="single" w:sz="22" w:space="8" w:color="9A6700"/>
        </w:pBdr>
      </w:pPr>
      <w:r>
        <w:rPr>
          <w:rFonts w:ascii="Calibri" w:hAnsi="Calibri" w:eastAsia="Microsoft YaHei"/>
          <w:b/>
          <w:color w:val="9A6700"/>
          <w:sz w:val="21"/>
        </w:rPr>
        <w:t xml:space="preserve">真实性口径  </w:t>
      </w:r>
      <w:r>
        <w:rPr>
          <w:rFonts w:ascii="Calibri" w:hAnsi="Calibri" w:eastAsia="Microsoft YaHei"/>
          <w:color w:val="1E293B"/>
          <w:sz w:val="21"/>
        </w:rPr>
        <w:t>“可调用过API”只证明外部依赖可用；“在服务器持续运行、失败可恢复、结果可追溯”才算工程成果。本文所有未落地项都标为计划，不把架构图冒充成现状。</w:t>
      </w:r>
    </w:p>
    <w:p>
      <w:pPr>
        <w:widowControl/>
        <w:spacing w:before="0" w:after="80" w:line="240" w:lineRule="auto"/>
      </w:pPr>
    </w:p>
    <w:p>
      <w:pPr>
        <w:pStyle w:val="Heading2"/>
        <w:keepNext/>
        <w:keepLines/>
      </w:pPr>
      <w:r>
        <w:t>1.2 最小成功与95+成功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900"/>
        <w:gridCol w:w="4960"/>
        <w:gridCol w:w="2500"/>
      </w:tblGrid>
      <w:tr>
        <w:trPr>
          <w:trHeight w:hRule="atLeast"/>
          <w:tblHeader w:val="true"/>
          <w:cantSplit w:val="true"/>
        </w:trPr>
        <w:tc>
          <w:tcPr>
            <w:tcW w:type="dxa" w:w="19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层级</w:t>
            </w:r>
          </w:p>
        </w:tc>
        <w:tc>
          <w:tcPr>
            <w:tcW w:type="dxa" w:w="49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必须看到的结果</w:t>
            </w:r>
          </w:p>
        </w:tc>
        <w:tc>
          <w:tcPr>
            <w:tcW w:type="dxa" w:w="25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评分含义</w:t>
            </w:r>
          </w:p>
        </w:tc>
      </w:tr>
      <w:tr>
        <w:trPr>
          <w:trHeight w:hRule="atLeast"/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最小可交付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一条真实事件从采集、入账、证据核验到网页呈现可复现；Telegram可深链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完成产品闭环</w:t>
            </w:r>
          </w:p>
        </w:tc>
      </w:tr>
      <w:tr>
        <w:trPr>
          <w:trHeight w:hRule="atLeast"/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优秀交付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VPS稳定、历史可恢复、双案例Replay、小模型有指标、核心覆盖率≥80%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具备90–95竞争力</w:t>
            </w:r>
          </w:p>
        </w:tc>
      </w:tr>
      <w:tr>
        <w:trPr>
          <w:trHeight w:hRule="atLeast"/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95+交付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高难度审批 + 三禁飞区掌握 + 过程证据 + Bug/即兴修改 + 强答辩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具备95+竞争力</w:t>
            </w:r>
          </w:p>
        </w:tc>
      </w:tr>
    </w:tbl>
    <w:p>
      <w:pPr>
        <w:widowControl/>
        <w:spacing w:before="0" w:after="40" w:line="240" w:lineRule="auto"/>
      </w:pPr>
    </w:p>
    <w:p>
      <w:pPr>
        <w:pStyle w:val="Heading1"/>
        <w:keepNext/>
        <w:keepLines/>
      </w:pPr>
      <w:r>
        <w:t>2. 产品定位与用户场景</w:t>
      </w:r>
    </w:p>
    <w:p>
      <w:pPr>
        <w:pStyle w:val="Heading2"/>
        <w:keepNext/>
        <w:keepLines/>
      </w:pPr>
      <w:r>
        <w:t>2.1 产品定义</w:t>
      </w:r>
    </w:p>
    <w:p>
      <w:pPr>
        <w:keepLines w:val="0"/>
        <w:widowControl/>
        <w:spacing w:before="0" w:after="160" w:line="320" w:lineRule="auto"/>
        <w:jc w:val="both"/>
      </w:pPr>
      <w:r>
        <w:rPr>
          <w:rFonts w:ascii="Calibri" w:hAnsi="Calibri" w:eastAsia="Microsoft YaHei"/>
          <w:color w:val="1E293B"/>
          <w:sz w:val="22"/>
        </w:rPr>
        <w:t>Finance Radar 是面向研究者的金融事件情报工作台。它服务于“快速发现—谨慎核验—保存历史—解释结论—复盘演示”五个动作，不是新闻门户、聊天机器人、行情交易终端或投资建议系统。系统覆盖正面、负面和中性事件；只有小模型训练目标聚焦重大下行风险，因为此类事件通常更紧迫、损失不对称、需要优先审核。</w:t>
      </w:r>
    </w:p>
    <w:p>
      <w:pPr>
        <w:pStyle w:val="Heading2"/>
        <w:keepNext/>
        <w:keepLines/>
      </w:pPr>
      <w:r>
        <w:t>2.2 四个核心场景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650"/>
        <w:gridCol w:w="3380"/>
        <w:gridCol w:w="4330"/>
      </w:tblGrid>
      <w:tr>
        <w:trPr>
          <w:trHeight w:hRule="atLeast"/>
          <w:tblHeader w:val="true"/>
          <w:cantSplit w:val="true"/>
        </w:trPr>
        <w:tc>
          <w:tcPr>
            <w:tcW w:type="dxa" w:w="165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场景</w:t>
            </w:r>
          </w:p>
        </w:tc>
        <w:tc>
          <w:tcPr>
            <w:tcW w:type="dxa" w:w="338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用户任务</w:t>
            </w:r>
          </w:p>
        </w:tc>
        <w:tc>
          <w:tcPr>
            <w:tcW w:type="dxa" w:w="433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系统响应</w:t>
            </w:r>
          </w:p>
        </w:tc>
      </w:tr>
      <w:tr>
        <w:trPr>
          <w:trHeight w:hRule="atLeast"/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实时监控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查看来源是否健康、最近发生了什么</w:t>
            </w:r>
          </w:p>
        </w:tc>
        <w:tc>
          <w:tcPr>
            <w:tcW w:type="dxa" w:w="4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3–5秒刷新事件流，显示模式、时间、新鲜度和来源健康</w:t>
            </w:r>
          </w:p>
        </w:tc>
      </w:tr>
      <w:tr>
        <w:trPr>
          <w:trHeight w:hRule="atLeast"/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事件核验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判断说法是否有一手证据</w:t>
            </w:r>
          </w:p>
        </w:tc>
        <w:tc>
          <w:tcPr>
            <w:tcW w:type="dxa" w:w="4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原子声明—证据矩阵；支持、反驳、证据不足分别展示</w:t>
            </w:r>
          </w:p>
        </w:tc>
      </w:tr>
      <w:tr>
        <w:trPr>
          <w:trHeight w:hRule="atLeast"/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历史复盘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理解事件如何修订、证券身份如何变化</w:t>
            </w:r>
          </w:p>
        </w:tc>
        <w:tc>
          <w:tcPr>
            <w:tcW w:type="dxa" w:w="4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版本时间线、原始快照、哈希、人工覆盖与trace_id</w:t>
            </w:r>
          </w:p>
        </w:tc>
      </w:tr>
      <w:tr>
        <w:trPr>
          <w:trHeight w:hRule="atLeast"/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演示与教学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在无新事件时稳定展示完整链路</w:t>
            </w:r>
          </w:p>
        </w:tc>
        <w:tc>
          <w:tcPr>
            <w:tcW w:type="dxa" w:w="4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冻结真实案例进入同一下游代码，写入隔离Replay账本</w:t>
            </w:r>
          </w:p>
        </w:tc>
      </w:tr>
    </w:tbl>
    <w:p>
      <w:pPr>
        <w:widowControl/>
        <w:spacing w:before="0" w:after="40" w:line="240" w:lineRule="auto"/>
      </w:pPr>
    </w:p>
    <w:p>
      <w:pPr>
        <w:widowControl/>
        <w:spacing w:before="20" w:after="20" w:line="283" w:lineRule="auto"/>
        <w:ind w:left="115" w:right="115"/>
        <w:jc w:val="left"/>
        <w:shd w:fill="EAF2F8"/>
        <w:pBdr>
          <w:left w:val="single" w:sz="22" w:space="8" w:color="2E74B5"/>
        </w:pBdr>
      </w:pPr>
      <w:r>
        <w:rPr>
          <w:rFonts w:ascii="Calibri" w:hAnsi="Calibri" w:eastAsia="Microsoft YaHei"/>
          <w:b/>
          <w:color w:val="2E74B5"/>
          <w:sz w:val="21"/>
        </w:rPr>
        <w:t xml:space="preserve">边界声明  </w:t>
      </w:r>
      <w:r>
        <w:rPr>
          <w:rFonts w:ascii="Calibri" w:hAnsi="Calibri" w:eastAsia="Microsoft YaHei"/>
          <w:color w:val="1E293B"/>
          <w:sz w:val="21"/>
        </w:rPr>
        <w:t>事实极性、事件严重度、资产影响和模型风险路由是四个不同字段。正面事件可以被采集和核验；负面模型偏置被定义为有意的审核优先级，而不是做空信号。</w:t>
      </w:r>
    </w:p>
    <w:p>
      <w:pPr>
        <w:widowControl/>
        <w:spacing w:before="0" w:after="80" w:line="240" w:lineRule="auto"/>
      </w:pPr>
    </w:p>
    <w:p>
      <w:pPr>
        <w:pStyle w:val="Heading1"/>
        <w:keepNext/>
        <w:keepLines/>
      </w:pPr>
      <w:r>
        <w:t>3. Web Situation Room：主展示终端</w:t>
      </w:r>
    </w:p>
    <w:p>
      <w:pPr>
        <w:keepLines w:val="0"/>
        <w:widowControl/>
        <w:spacing w:before="0" w:after="160" w:line="320" w:lineRule="auto"/>
        <w:jc w:val="both"/>
      </w:pPr>
      <w:r>
        <w:rPr>
          <w:rFonts w:ascii="Calibri" w:hAnsi="Calibri" w:eastAsia="Microsoft YaHei"/>
          <w:color w:val="1E293B"/>
          <w:sz w:val="22"/>
        </w:rPr>
        <w:t>网页不做华而不实的大屏，而做四个可以讲透、可以操作、可以验收的页面。所有页面通过FastAPI读取经过Schema约束的数据，不直接访问数据库；标题栏持续显示LIVE / RECENT / REPLAY、服务器时间和数据时间。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800"/>
        <w:gridCol w:w="4760"/>
        <w:gridCol w:w="2800"/>
      </w:tblGrid>
      <w:tr>
        <w:trPr>
          <w:trHeight w:hRule="atLeast"/>
          <w:tblHeader w:val="true"/>
          <w:cantSplit w:val="true"/>
        </w:trPr>
        <w:tc>
          <w:tcPr>
            <w:tcW w:type="dxa" w:w="18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页面</w:t>
            </w:r>
          </w:p>
        </w:tc>
        <w:tc>
          <w:tcPr>
            <w:tcW w:type="dxa" w:w="47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主要内容</w:t>
            </w:r>
          </w:p>
        </w:tc>
        <w:tc>
          <w:tcPr>
            <w:tcW w:type="dxa" w:w="28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答辩价值</w:t>
            </w:r>
          </w:p>
        </w:tc>
      </w:tr>
      <w:tr>
        <w:trPr>
          <w:trHeight w:hRule="atLeast"/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Operations Overview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实时事件流、来源健康、Worker心跳、队列深度、最后成功采集、模式标识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证明系统真在运行，而非静态页面</w:t>
            </w:r>
          </w:p>
        </w:tc>
      </w:tr>
      <w:tr>
        <w:trPr>
          <w:trHeight w:hRule="atLeast"/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Event Intelligence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事件状态、极性、严重度、风险路由、声明—证据矩阵、版本时间线、行情审计图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证明模型结论可追溯、可反驳</w:t>
            </w:r>
          </w:p>
        </w:tc>
      </w:tr>
      <w:tr>
        <w:trPr>
          <w:trHeight w:hRule="atLeast"/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Replay Lab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选择NINEQ/WOLF2/近期案例，逐步播放发现、拒绝、确认和更新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保证主演示稳定，展示正反例</w:t>
            </w:r>
          </w:p>
        </w:tc>
      </w:tr>
      <w:tr>
        <w:trPr>
          <w:trHeight w:hRule="atLeast"/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Model &amp; System Health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模型卡、版本哈希、Precision/Recall/F1、ABSTAIN、错误、备份与恢复状态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证明AI与运维均受治理</w:t>
            </w:r>
          </w:p>
        </w:tc>
      </w:tr>
    </w:tbl>
    <w:p>
      <w:pPr>
        <w:widowControl/>
        <w:spacing w:before="0" w:after="40" w:line="240" w:lineRule="auto"/>
      </w:pPr>
    </w:p>
    <w:p>
      <w:pPr>
        <w:pStyle w:val="Heading2"/>
        <w:keepNext/>
        <w:keepLines/>
      </w:pPr>
      <w:r>
        <w:t>3.1 Telegram 的新职责</w:t>
      </w:r>
    </w:p>
    <w:p>
      <w:pPr>
        <w:widowControl/>
        <w:numPr>
          <w:ilvl w:val="0"/>
          <w:numId w:val="10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只推送高优先级摘要、来源状态异常和人工复核请求。</w:t>
      </w:r>
    </w:p>
    <w:p>
      <w:pPr>
        <w:widowControl/>
        <w:numPr>
          <w:ilvl w:val="0"/>
          <w:numId w:val="10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每张卡片携带event_id、数据时间、证据状态与网页版详情深链接。</w:t>
      </w:r>
    </w:p>
    <w:p>
      <w:pPr>
        <w:widowControl/>
        <w:numPr>
          <w:ilvl w:val="0"/>
          <w:numId w:val="10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不作为唯一终端，不承载完整证据矩阵，不替代历史检索。</w:t>
      </w:r>
    </w:p>
    <w:p>
      <w:pPr>
        <w:widowControl/>
        <w:numPr>
          <w:ilvl w:val="0"/>
          <w:numId w:val="10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继续通过outbox保证幂等；重复发送目标为0。</w:t>
      </w:r>
    </w:p>
    <w:p>
      <w:r>
        <w:br w:type="page"/>
      </w:r>
    </w:p>
    <w:p>
      <w:pPr>
        <w:pStyle w:val="Heading1"/>
        <w:keepNext/>
        <w:keepLines/>
      </w:pPr>
      <w:r>
        <w:t>4. 总体架构与服务器部署</w:t>
      </w:r>
    </w:p>
    <w:p>
      <w:pPr>
        <w:widowControl/>
        <w:spacing w:before="4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97880" cy="3669792"/>
            <wp:docPr id="1" name="Picture 1" descr="图1  Finance Radar V4.0 模块化单体与新加坡VPS部署拓扑" title="财经事件雷达V3.0总体架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nce_radar_v4_deploym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69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0" w:after="200" w:line="240" w:lineRule="auto"/>
        <w:jc w:val="center"/>
      </w:pPr>
      <w:r>
        <w:rPr>
          <w:rFonts w:ascii="Calibri" w:hAnsi="Calibri" w:eastAsia="Microsoft YaHei"/>
          <w:i/>
          <w:color w:val="667085"/>
          <w:sz w:val="18"/>
        </w:rPr>
        <w:t>图1  Finance Radar V4.0 模块化单体与新加坡VPS部署拓扑</w:t>
      </w:r>
    </w:p>
    <w:p>
      <w:pPr>
        <w:pStyle w:val="Heading2"/>
        <w:keepNext/>
        <w:keepLines/>
      </w:pPr>
      <w:r>
        <w:t>4.1 为什么选择模块化单体</w:t>
      </w:r>
    </w:p>
    <w:p>
      <w:pPr>
        <w:keepLines w:val="0"/>
        <w:widowControl/>
        <w:spacing w:before="0" w:after="160" w:line="320" w:lineRule="auto"/>
        <w:jc w:val="both"/>
      </w:pPr>
      <w:r>
        <w:rPr>
          <w:rFonts w:ascii="Calibri" w:hAnsi="Calibri" w:eastAsia="Microsoft YaHei"/>
          <w:color w:val="1E293B"/>
          <w:sz w:val="22"/>
        </w:rPr>
        <w:t>V4.0 使用一个仓库、一个应用镜像和一个数据库契约，按职责启动worker、api、web三个进程，由Caddy提供HTTPS。这比在12天内引入React、Redis、Celery、Kafka或Kubernetes更可控，也更容易逐行解释、测试、恢复和现场修改。专业度来自闭环可靠，不来自技术名词数量。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700"/>
        <w:gridCol w:w="4720"/>
        <w:gridCol w:w="2940"/>
      </w:tblGrid>
      <w:tr>
        <w:trPr>
          <w:trHeight w:hRule="atLeast"/>
          <w:tblHeader w:val="true"/>
          <w:cantSplit w:val="true"/>
        </w:trPr>
        <w:tc>
          <w:tcPr>
            <w:tcW w:type="dxa" w:w="17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组件</w:t>
            </w:r>
          </w:p>
        </w:tc>
        <w:tc>
          <w:tcPr>
            <w:tcW w:type="dxa" w:w="472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职责</w:t>
            </w:r>
          </w:p>
        </w:tc>
        <w:tc>
          <w:tcPr>
            <w:tcW w:type="dxa" w:w="294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硬边界</w:t>
            </w:r>
          </w:p>
        </w:tc>
      </w:tr>
      <w:tr>
        <w:trPr>
          <w:trHeight w:hRule="atLeast"/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Caddy</w:t>
            </w:r>
          </w:p>
        </w:tc>
        <w:tc>
          <w:tcPr>
            <w:tcW w:type="dxa" w:w="4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HTTPS证书、反向代理、基础访问控制</w:t>
            </w:r>
          </w:p>
        </w:tc>
        <w:tc>
          <w:tcPr>
            <w:tcW w:type="dxa" w:w="2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不处理业务数据</w:t>
            </w:r>
          </w:p>
        </w:tc>
      </w:tr>
      <w:tr>
        <w:trPr>
          <w:trHeight w:hRule="atLeast"/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Worker</w:t>
            </w:r>
          </w:p>
        </w:tc>
        <w:tc>
          <w:tcPr>
            <w:tcW w:type="dxa" w:w="4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持续采集、先落盘、候选抽取、证据流程、模型路由、outbox</w:t>
            </w:r>
          </w:p>
        </w:tc>
        <w:tc>
          <w:tcPr>
            <w:tcW w:type="dxa" w:w="2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正式账本唯一写者</w:t>
            </w:r>
          </w:p>
        </w:tc>
      </w:tr>
      <w:tr>
        <w:trPr>
          <w:trHeight w:hRule="atLeast"/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FastAPI</w:t>
            </w:r>
          </w:p>
        </w:tc>
        <w:tc>
          <w:tcPr>
            <w:tcW w:type="dxa" w:w="4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只读查询、健康检查、Replay管理员入口</w:t>
            </w:r>
          </w:p>
        </w:tc>
        <w:tc>
          <w:tcPr>
            <w:tcW w:type="dxa" w:w="2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禁止任意SQL、URL和提示词</w:t>
            </w:r>
          </w:p>
        </w:tc>
      </w:tr>
      <w:tr>
        <w:trPr>
          <w:trHeight w:hRule="atLeast"/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Streamlit</w:t>
            </w:r>
          </w:p>
        </w:tc>
        <w:tc>
          <w:tcPr>
            <w:tcW w:type="dxa" w:w="4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四页网页情报台与可视化</w:t>
            </w:r>
          </w:p>
        </w:tc>
        <w:tc>
          <w:tcPr>
            <w:tcW w:type="dxa" w:w="2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不直连数据库、不伪装交易屏</w:t>
            </w:r>
          </w:p>
        </w:tc>
      </w:tr>
      <w:tr>
        <w:trPr>
          <w:trHeight w:hRule="atLeast"/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Risk Router</w:t>
            </w:r>
          </w:p>
        </w:tc>
        <w:tc>
          <w:tcPr>
            <w:tcW w:type="dxa" w:w="4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输出RISK_REVIEW / NON_TARGET / ABSTAIN</w:t>
            </w:r>
          </w:p>
        </w:tc>
        <w:tc>
          <w:tcPr>
            <w:tcW w:type="dxa" w:w="2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不判断真假、不输出SHORT</w:t>
            </w:r>
          </w:p>
        </w:tc>
      </w:tr>
      <w:tr>
        <w:trPr>
          <w:trHeight w:hRule="atLeast"/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Ledger</w:t>
            </w:r>
          </w:p>
        </w:tc>
        <w:tc>
          <w:tcPr>
            <w:tcW w:type="dxa" w:w="4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原始观测、版本、证据、模型运行、通知历史</w:t>
            </w:r>
          </w:p>
        </w:tc>
        <w:tc>
          <w:tcPr>
            <w:tcW w:type="dxa" w:w="2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不保存密钥、不连交易账户</w:t>
            </w:r>
          </w:p>
        </w:tc>
      </w:tr>
    </w:tbl>
    <w:p>
      <w:pPr>
        <w:widowControl/>
        <w:spacing w:before="0" w:after="40" w:line="240" w:lineRule="auto"/>
      </w:pPr>
    </w:p>
    <w:p>
      <w:pPr>
        <w:pStyle w:val="Heading2"/>
        <w:keepNext/>
        <w:keepLines/>
      </w:pPr>
      <w:r>
        <w:t>4.2 只读API契约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100"/>
        <w:gridCol w:w="4200"/>
        <w:gridCol w:w="4060"/>
      </w:tblGrid>
      <w:tr>
        <w:trPr>
          <w:trHeight w:hRule="atLeast"/>
          <w:tblHeader w:val="true"/>
          <w:cantSplit w:val="true"/>
        </w:trPr>
        <w:tc>
          <w:tcPr>
            <w:tcW w:type="dxa" w:w="11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方法</w:t>
            </w:r>
          </w:p>
        </w:tc>
        <w:tc>
          <w:tcPr>
            <w:tcW w:type="dxa" w:w="42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路径</w:t>
            </w:r>
          </w:p>
        </w:tc>
        <w:tc>
          <w:tcPr>
            <w:tcW w:type="dxa" w:w="40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用途</w:t>
            </w:r>
          </w:p>
        </w:tc>
      </w:tr>
      <w:tr>
        <w:trPr>
          <w:trHeight w:hRule="atLeast"/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GET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/api/v1/health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服务、数据库、Worker和模型健康</w:t>
            </w:r>
          </w:p>
        </w:tc>
      </w:tr>
      <w:tr>
        <w:trPr>
          <w:trHeight w:hRule="atLeast"/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GET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/api/v1/sources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来源状态、新鲜度与最近错误</w:t>
            </w:r>
          </w:p>
        </w:tc>
      </w:tr>
      <w:tr>
        <w:trPr>
          <w:trHeight w:hRule="atLeast"/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GET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/api/v1/events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筛选、分页、模式隔离的事件列表</w:t>
            </w:r>
          </w:p>
        </w:tc>
      </w:tr>
      <w:tr>
        <w:trPr>
          <w:trHeight w:hRule="atLeast"/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GET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/api/v1/events/{event_id}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事件详情、声明、证据、时间线和trace</w:t>
            </w:r>
          </w:p>
        </w:tc>
      </w:tr>
      <w:tr>
        <w:trPr>
          <w:trHeight w:hRule="atLeast"/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GET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/api/v1/model-card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模型版本、指标、标签定义和限制</w:t>
            </w:r>
          </w:p>
        </w:tc>
      </w:tr>
      <w:tr>
        <w:trPr>
          <w:trHeight w:hRule="atLeast"/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POST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/api/v1/demo/replays/{scenario_id}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仅管理员触发隔离Replay</w:t>
            </w:r>
          </w:p>
        </w:tc>
      </w:tr>
    </w:tbl>
    <w:p>
      <w:pPr>
        <w:widowControl/>
        <w:spacing w:before="0" w:after="40" w:line="240" w:lineRule="auto"/>
      </w:pPr>
    </w:p>
    <w:p>
      <w:pPr>
        <w:pStyle w:val="Heading1"/>
        <w:keepNext/>
        <w:keepLines/>
      </w:pPr>
      <w:r>
        <w:t>5. 历史账本、备份与恢复</w:t>
      </w:r>
    </w:p>
    <w:p>
      <w:pPr>
        <w:pStyle w:val="Heading2"/>
        <w:keepNext/>
        <w:keepLines/>
      </w:pPr>
      <w:r>
        <w:t>5.1 12天核心仍采用SQLite WAL</w:t>
      </w:r>
    </w:p>
    <w:p>
      <w:pPr>
        <w:keepLines w:val="0"/>
        <w:widowControl/>
        <w:spacing w:before="0" w:after="160" w:line="320" w:lineRule="auto"/>
        <w:jc w:val="both"/>
      </w:pPr>
      <w:r>
        <w:rPr>
          <w:rFonts w:ascii="Calibri" w:hAnsi="Calibri" w:eastAsia="Microsoft YaHei"/>
          <w:color w:val="1E293B"/>
          <w:sz w:val="22"/>
        </w:rPr>
        <w:t>现有约19.5MB数据库已具备30表左右的成熟账本语义、WAL、任务、租约、游标和outbox。V4.0不为“看起来像大厂”重写存储层；生产核心采用VPS持久卷上的SQLite WAL，由Worker单写，API只读。PostgreSQL作为仓储适配器升级项，只有在并发写者、用户数、锁等待或数据规模超过触发条件时迁移。</w:t>
      </w:r>
    </w:p>
    <w:p>
      <w:pPr>
        <w:widowControl/>
        <w:spacing w:before="20" w:after="20" w:line="283" w:lineRule="auto"/>
        <w:ind w:left="115" w:right="115"/>
        <w:jc w:val="left"/>
        <w:shd w:fill="EDF7F0"/>
        <w:pBdr>
          <w:left w:val="single" w:sz="22" w:space="8" w:color="217346"/>
        </w:pBdr>
      </w:pPr>
      <w:r>
        <w:rPr>
          <w:rFonts w:ascii="Calibri" w:hAnsi="Calibri" w:eastAsia="Microsoft YaHei"/>
          <w:b/>
          <w:color w:val="217346"/>
          <w:sz w:val="21"/>
        </w:rPr>
        <w:t xml:space="preserve">数据库专业性  </w:t>
      </w:r>
      <w:r>
        <w:rPr>
          <w:rFonts w:ascii="Calibri" w:hAnsi="Calibri" w:eastAsia="Microsoft YaHei"/>
          <w:color w:val="1E293B"/>
          <w:sz w:val="21"/>
        </w:rPr>
        <w:t>评委真正能验收的是：重启不丢数据、备份一致、哈希可验、十分钟内可恢复、Replay不污染正式历史。数据库品牌本身不加分。</w:t>
      </w:r>
    </w:p>
    <w:p>
      <w:pPr>
        <w:widowControl/>
        <w:spacing w:before="0" w:after="80" w:line="240" w:lineRule="auto"/>
      </w:pP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850"/>
        <w:gridCol w:w="4860"/>
        <w:gridCol w:w="2650"/>
      </w:tblGrid>
      <w:tr>
        <w:trPr>
          <w:trHeight w:hRule="atLeast"/>
          <w:tblHeader w:val="true"/>
          <w:cantSplit w:val="true"/>
        </w:trPr>
        <w:tc>
          <w:tcPr>
            <w:tcW w:type="dxa" w:w="185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对象</w:t>
            </w:r>
          </w:p>
        </w:tc>
        <w:tc>
          <w:tcPr>
            <w:tcW w:type="dxa" w:w="48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保存内容</w:t>
            </w:r>
          </w:p>
        </w:tc>
        <w:tc>
          <w:tcPr>
            <w:tcW w:type="dxa" w:w="265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保留 / 验收</w:t>
            </w:r>
          </w:p>
        </w:tc>
      </w:tr>
      <w:tr>
        <w:trPr>
          <w:trHeight w:hRule="atLeast"/>
          <w:cantSplit w:val="true"/>
        </w:trP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正式账本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raw observations、revisions、events、versions、evidence、model_runs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持久卷；重启后游标与outbox不丢</w:t>
            </w:r>
          </w:p>
        </w:tc>
      </w:tr>
      <w:tr>
        <w:trPr>
          <w:trHeight w:hRule="atLeast"/>
          <w:cantSplit w:val="true"/>
        </w:trP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证据快照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原文或文件、内容哈希、抓取时间、URL、MIME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内容寻址；可回到原始证据</w:t>
            </w:r>
          </w:p>
        </w:tc>
      </w:tr>
      <w:tr>
        <w:trPr>
          <w:trHeight w:hRule="atLeast"/>
          <w:cantSplit w:val="true"/>
        </w:trP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Replay账本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冻结案例的隔离运行结果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独立数据库；页面永远显示REPLAY</w:t>
            </w:r>
          </w:p>
        </w:tc>
      </w:tr>
      <w:tr>
        <w:trPr>
          <w:trHeight w:hRule="atLeast"/>
          <w:cantSplit w:val="true"/>
        </w:trP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日/周备份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SQLite在线一致性备份 + SHA256清单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14个日备份、8个周备份</w:t>
            </w:r>
          </w:p>
        </w:tc>
      </w:tr>
      <w:tr>
        <w:trPr>
          <w:trHeight w:hRule="atLeast"/>
          <w:cantSplit w:val="true"/>
        </w:trP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恢复演练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恢复到临时目录并执行审计与样例查询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每版至少一次；目标10分钟内</w:t>
            </w:r>
          </w:p>
        </w:tc>
      </w:tr>
    </w:tbl>
    <w:p>
      <w:pPr>
        <w:widowControl/>
        <w:spacing w:before="0" w:after="40" w:line="240" w:lineRule="auto"/>
      </w:pPr>
    </w:p>
    <w:p>
      <w:pPr>
        <w:pStyle w:val="Heading2"/>
        <w:keepNext/>
        <w:keepLines/>
      </w:pPr>
      <w:r>
        <w:t>5.2 PostgreSQL升级触发条件</w:t>
      </w:r>
    </w:p>
    <w:p>
      <w:pPr>
        <w:widowControl/>
        <w:numPr>
          <w:ilvl w:val="0"/>
          <w:numId w:val="10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出现两个以上并发写入Worker；</w:t>
      </w:r>
    </w:p>
    <w:p>
      <w:pPr>
        <w:widowControl/>
        <w:numPr>
          <w:ilvl w:val="0"/>
          <w:numId w:val="10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需要十名以上并发用户；</w:t>
      </w:r>
    </w:p>
    <w:p>
      <w:pPr>
        <w:widowControl/>
        <w:numPr>
          <w:ilvl w:val="0"/>
          <w:numId w:val="10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数据库锁等待P95持续高于50ms；</w:t>
      </w:r>
    </w:p>
    <w:p>
      <w:pPr>
        <w:widowControl/>
        <w:numPr>
          <w:ilvl w:val="0"/>
          <w:numId w:val="10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数据达到数十GB或需要跨节点高可用。</w:t>
      </w:r>
    </w:p>
    <w:p>
      <w:pPr>
        <w:pStyle w:val="Heading1"/>
        <w:keepNext/>
        <w:keepLines/>
      </w:pPr>
      <w:r>
        <w:t>6. Evidence Agent：AI进入核心业务</w:t>
      </w:r>
    </w:p>
    <w:p>
      <w:pPr>
        <w:keepLines w:val="0"/>
        <w:widowControl/>
        <w:spacing w:before="0" w:after="160" w:line="320" w:lineRule="auto"/>
        <w:jc w:val="both"/>
      </w:pPr>
      <w:r>
        <w:rPr>
          <w:rFonts w:ascii="Calibri" w:hAnsi="Calibri" w:eastAsia="Microsoft YaHei"/>
          <w:color w:val="1E293B"/>
          <w:sz w:val="22"/>
        </w:rPr>
        <w:t>LLM不是聊天层，而是受Schema、预算、工具白名单和证据门约束的研究节点。它对每条候选消息拆分原子声明，规划需要查询的一手材料，把证据片段映射到声明，并生成带引用摘要。任何格式错误、来源中断、证据冲突、最终性不足或预算耗尽都必须fail closed。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900"/>
        <w:gridCol w:w="3770"/>
        <w:gridCol w:w="3690"/>
      </w:tblGrid>
      <w:tr>
        <w:trPr>
          <w:trHeight w:hRule="atLeast"/>
          <w:tblHeader w:val="true"/>
          <w:cantSplit w:val="true"/>
        </w:trPr>
        <w:tc>
          <w:tcPr>
            <w:tcW w:type="dxa" w:w="19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节点</w:t>
            </w:r>
          </w:p>
        </w:tc>
        <w:tc>
          <w:tcPr>
            <w:tcW w:type="dxa" w:w="377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模型工作</w:t>
            </w:r>
          </w:p>
        </w:tc>
        <w:tc>
          <w:tcPr>
            <w:tcW w:type="dxa" w:w="369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确定性代码工作</w:t>
            </w:r>
          </w:p>
        </w:tc>
      </w:tr>
      <w:tr>
        <w:trPr>
          <w:trHeight w:hRule="atLeast"/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Claim Extractor</w:t>
            </w:r>
          </w:p>
        </w:tc>
        <w:tc>
          <w:tcPr>
            <w:tcW w:type="dxa" w:w="37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拆分主体、动作、时间、数值、阶段和资产</w:t>
            </w:r>
          </w:p>
        </w:tc>
        <w:tc>
          <w:tcPr>
            <w:tcW w:type="dxa" w:w="3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JSON Schema校验、字段规范化、输入哈希</w:t>
            </w:r>
          </w:p>
        </w:tc>
      </w:tr>
      <w:tr>
        <w:trPr>
          <w:trHeight w:hRule="atLeast"/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Evidence Planner</w:t>
            </w:r>
          </w:p>
        </w:tc>
        <w:tc>
          <w:tcPr>
            <w:tcW w:type="dxa" w:w="37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提出需要的权威证据与查询计划</w:t>
            </w:r>
          </w:p>
        </w:tc>
        <w:tc>
          <w:tcPr>
            <w:tcW w:type="dxa" w:w="3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来源白名单、域名策略、预算和超时</w:t>
            </w:r>
          </w:p>
        </w:tc>
      </w:tr>
      <w:tr>
        <w:trPr>
          <w:trHeight w:hRule="atLeast"/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Relation Judge</w:t>
            </w:r>
          </w:p>
        </w:tc>
        <w:tc>
          <w:tcPr>
            <w:tcW w:type="dxa" w:w="37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判断片段支持、反驳或无关</w:t>
            </w:r>
          </w:p>
        </w:tc>
        <w:tc>
          <w:tcPr>
            <w:tcW w:type="dxa" w:w="3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引用存在性、来源等级、独立性和最终性门</w:t>
            </w:r>
          </w:p>
        </w:tc>
      </w:tr>
      <w:tr>
        <w:trPr>
          <w:trHeight w:hRule="atLeast"/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Cited Summarizer</w:t>
            </w:r>
          </w:p>
        </w:tc>
        <w:tc>
          <w:tcPr>
            <w:tcW w:type="dxa" w:w="37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生成逐声明带引用的简报</w:t>
            </w:r>
          </w:p>
        </w:tc>
        <w:tc>
          <w:tcPr>
            <w:tcW w:type="dxa" w:w="3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禁止无引用结论、版本化、人工覆盖审计</w:t>
            </w:r>
          </w:p>
        </w:tc>
      </w:tr>
    </w:tbl>
    <w:p>
      <w:pPr>
        <w:widowControl/>
        <w:spacing w:before="0" w:after="40" w:line="240" w:lineRule="auto"/>
      </w:pPr>
    </w:p>
    <w:p>
      <w:pPr>
        <w:widowControl/>
        <w:spacing w:before="20" w:after="20" w:line="283" w:lineRule="auto"/>
        <w:ind w:left="115" w:right="115"/>
        <w:jc w:val="left"/>
        <w:shd w:fill="FDECEC"/>
        <w:pBdr>
          <w:left w:val="single" w:sz="22" w:space="8" w:color="9B1C1C"/>
        </w:pBdr>
      </w:pPr>
      <w:r>
        <w:rPr>
          <w:rFonts w:ascii="Calibri" w:hAnsi="Calibri" w:eastAsia="Microsoft YaHei"/>
          <w:b/>
          <w:color w:val="9B1C1C"/>
          <w:sz w:val="21"/>
        </w:rPr>
        <w:t xml:space="preserve">Fail closed  </w:t>
      </w:r>
      <w:r>
        <w:rPr>
          <w:rFonts w:ascii="Calibri" w:hAnsi="Calibri" w:eastAsia="Microsoft YaHei"/>
          <w:color w:val="1E293B"/>
          <w:sz w:val="21"/>
        </w:rPr>
        <w:t>模型异常时输出INSUFFICIENT或HUMAN_REVIEW；不能猜测性发布，不能绕过S级限制，不能调用交易工具。</w:t>
      </w:r>
    </w:p>
    <w:p>
      <w:pPr>
        <w:widowControl/>
        <w:spacing w:before="0" w:after="80" w:line="240" w:lineRule="auto"/>
      </w:pPr>
    </w:p>
    <w:p>
      <w:pPr>
        <w:pStyle w:val="Heading2"/>
        <w:keepNext/>
        <w:keepLines/>
      </w:pPr>
      <w:r>
        <w:t>6.1 Agent运行时可观测性</w:t>
      </w:r>
    </w:p>
    <w:p>
      <w:pPr>
        <w:widowControl/>
        <w:numPr>
          <w:ilvl w:val="0"/>
          <w:numId w:val="10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每次运行记录trace_id、输入哈希、模型/提示词版本、工具调用、延迟、成本、输出Schema和人工覆盖。</w:t>
      </w:r>
    </w:p>
    <w:p>
      <w:pPr>
        <w:widowControl/>
        <w:numPr>
          <w:ilvl w:val="0"/>
          <w:numId w:val="10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网页事件详情可按时间回放“发现→抽取→检索→关系判断→安全门→发布”。</w:t>
      </w:r>
    </w:p>
    <w:p>
      <w:pPr>
        <w:widowControl/>
        <w:numPr>
          <w:ilvl w:val="0"/>
          <w:numId w:val="10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所有外部工具均只读，URL、查询次数、超时和返回大小受白名单与预算限制。</w:t>
      </w:r>
    </w:p>
    <w:p>
      <w:pPr>
        <w:pStyle w:val="Heading1"/>
        <w:keepNext/>
        <w:keepLines/>
      </w:pPr>
      <w:r>
        <w:t>7. 服务器小模型：重大下行风险审核路由</w:t>
      </w:r>
    </w:p>
    <w:p>
      <w:pPr>
        <w:pStyle w:val="Heading2"/>
        <w:keepNext/>
        <w:keepLines/>
      </w:pPr>
      <w:r>
        <w:t>7.1 任务定义，而不是交易模型</w:t>
      </w:r>
    </w:p>
    <w:p>
      <w:pPr>
        <w:keepLines w:val="0"/>
        <w:widowControl/>
        <w:spacing w:before="0" w:after="160" w:line="320" w:lineRule="auto"/>
        <w:jc w:val="both"/>
      </w:pPr>
      <w:r>
        <w:rPr>
          <w:rFonts w:ascii="Calibri" w:hAnsi="Calibri" w:eastAsia="Microsoft YaHei"/>
          <w:color w:val="1E293B"/>
          <w:sz w:val="22"/>
        </w:rPr>
        <w:t>历史792条人工裁决主要围绕破产、退市、重组失败、欺诈、监管处罚等不利事件。V4.0不把它包装成做空模型，而把它定义为“重大下行风险审核路由器”：帮助人工队列优先查看可能存在重大不利影响的事件。全系统仍采集正面、中性和负面事件；正面/中性样本作为NON_TARGET对照，模糊样本进入ABSTAIN。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100"/>
        <w:gridCol w:w="7260"/>
      </w:tblGrid>
      <w:tr>
        <w:trPr>
          <w:trHeight w:hRule="atLeast"/>
          <w:tblHeader w:val="true"/>
          <w:cantSplit w:val="true"/>
        </w:trPr>
        <w:tc>
          <w:tcPr>
            <w:tcW w:type="dxa" w:w="21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项目</w:t>
            </w:r>
          </w:p>
        </w:tc>
        <w:tc>
          <w:tcPr>
            <w:tcW w:type="dxa" w:w="72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V4.0契约</w:t>
            </w:r>
          </w:p>
        </w:tc>
      </w:tr>
      <w:tr>
        <w:trPr>
          <w:trHeight w:hRule="atLeast"/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模型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word + char TF-IDF + LogisticRegression(class_weight='balanced')</w:t>
            </w:r>
          </w:p>
        </w:tc>
      </w:tr>
      <w:tr>
        <w:trPr>
          <w:trHeight w:hRule="atLeast"/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输出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RISK_REVIEW / NON_TARGET / ABSTAIN + probability + model_version + input_hash</w:t>
            </w:r>
          </w:p>
        </w:tc>
      </w:tr>
      <w:tr>
        <w:trPr>
          <w:trHeight w:hRule="atLeast"/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正类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在定义窗口与证据标准下，需要优先人工审核的重大不利事件</w:t>
            </w:r>
          </w:p>
        </w:tc>
      </w:tr>
      <w:tr>
        <w:trPr>
          <w:trHeight w:hRule="atLeast"/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非目标类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正面、中性、轻微、已拒绝或不相关事件</w:t>
            </w:r>
          </w:p>
        </w:tc>
      </w:tr>
      <w:tr>
        <w:trPr>
          <w:trHeight w:hRule="atLeast"/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禁止输出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LONG、SHORT、目标价、预期收益、自动严重度、发布许可</w:t>
            </w:r>
          </w:p>
        </w:tc>
      </w:tr>
      <w:tr>
        <w:trPr>
          <w:trHeight w:hRule="atLeast"/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部署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Worker进程内CPU推理；模型工件、模型卡、特征Schema、SHA256一起发布</w:t>
            </w:r>
          </w:p>
        </w:tc>
      </w:tr>
      <w:tr>
        <w:trPr>
          <w:trHeight w:hRule="atLeast"/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失效策略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加载失败、漂移或低置信度一律ABSTAIN；不改变事实核验</w:t>
            </w:r>
          </w:p>
        </w:tc>
      </w:tr>
    </w:tbl>
    <w:p>
      <w:pPr>
        <w:widowControl/>
        <w:spacing w:before="0" w:after="40" w:line="240" w:lineRule="auto"/>
      </w:pPr>
    </w:p>
    <w:p>
      <w:pPr>
        <w:pStyle w:val="Heading2"/>
        <w:keepNext/>
        <w:keepLines/>
      </w:pPr>
      <w:r>
        <w:t>7.2 评测与是否上线</w:t>
      </w:r>
    </w:p>
    <w:p>
      <w:pPr>
        <w:keepLines w:val="0"/>
        <w:widowControl/>
        <w:spacing w:before="0" w:after="160" w:line="320" w:lineRule="auto"/>
        <w:jc w:val="both"/>
      </w:pPr>
      <w:r>
        <w:rPr>
          <w:rFonts w:ascii="Calibri" w:hAnsi="Calibri" w:eastAsia="Microsoft YaHei"/>
          <w:color w:val="1E293B"/>
          <w:sz w:val="22"/>
        </w:rPr>
        <w:t>数据按时间、发行人和事件链分组切分，禁止同一事件修订泄漏到训练与测试两侧。与关键词规则、多数类和随机基线比较，报告Precision、Recall、F1、PR-AUC、校准误差和ABSTAIN覆盖。若冻结测试集没有稳定超过规则基线，模型仍可在服务器Shadow Mode运行并记录结果，但不得改变审核顺序。</w:t>
      </w:r>
    </w:p>
    <w:p>
      <w:pPr>
        <w:widowControl/>
        <w:spacing w:before="20" w:after="20" w:line="283" w:lineRule="auto"/>
        <w:ind w:left="115" w:right="115"/>
        <w:jc w:val="left"/>
        <w:shd w:fill="FFF7E6"/>
        <w:pBdr>
          <w:left w:val="single" w:sz="22" w:space="8" w:color="9A6700"/>
        </w:pBdr>
      </w:pPr>
      <w:r>
        <w:rPr>
          <w:rFonts w:ascii="Calibri" w:hAnsi="Calibri" w:eastAsia="Microsoft YaHei"/>
          <w:b/>
          <w:color w:val="9A6700"/>
          <w:sz w:val="21"/>
        </w:rPr>
        <w:t xml:space="preserve">可解释的负面聚焦  </w:t>
      </w:r>
      <w:r>
        <w:rPr>
          <w:rFonts w:ascii="Calibri" w:hAnsi="Calibri" w:eastAsia="Microsoft YaHei"/>
          <w:color w:val="1E293B"/>
          <w:sz w:val="21"/>
        </w:rPr>
        <w:t>重大下行风险常具有损失不对称与审核时效性，因此优先路由是合理产品目标；这只能解释“审核优先级”，不能解释为“负面事件一定导致价格下跌”。</w:t>
      </w:r>
    </w:p>
    <w:p>
      <w:pPr>
        <w:widowControl/>
        <w:spacing w:before="0" w:after="80" w:line="240" w:lineRule="auto"/>
      </w:pPr>
    </w:p>
    <w:p>
      <w:pPr>
        <w:pStyle w:val="Heading1"/>
        <w:keepNext/>
        <w:keepLines/>
      </w:pPr>
      <w:r>
        <w:t>8. 三模式演示：把外部不确定性变成确定证据</w:t>
      </w:r>
    </w:p>
    <w:p>
      <w:pPr>
        <w:widowControl/>
        <w:spacing w:before="4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97880" cy="2490216"/>
            <wp:docPr id="2" name="Picture 2" descr="图2  LIVE、RECENT_CAPTURE与REPLAY三模式答辩协议" title="财经事件雷达V3.0总体架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nce_radar_v4_demo_mod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490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0" w:after="200" w:line="240" w:lineRule="auto"/>
        <w:jc w:val="center"/>
      </w:pPr>
      <w:r>
        <w:rPr>
          <w:rFonts w:ascii="Calibri" w:hAnsi="Calibri" w:eastAsia="Microsoft YaHei"/>
          <w:i/>
          <w:color w:val="667085"/>
          <w:sz w:val="18"/>
        </w:rPr>
        <w:t>图2  LIVE、RECENT_CAPTURE与REPLAY三模式答辩协议</w:t>
      </w:r>
    </w:p>
    <w:p>
      <w:pPr>
        <w:pStyle w:val="Heading2"/>
        <w:keepNext/>
        <w:keepLines/>
      </w:pPr>
      <w:r>
        <w:t>8.1 主演示顺序（3分钟）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350"/>
        <w:gridCol w:w="4580"/>
        <w:gridCol w:w="3430"/>
      </w:tblGrid>
      <w:tr>
        <w:trPr>
          <w:trHeight w:hRule="atLeast"/>
          <w:tblHeader w:val="true"/>
          <w:cantSplit w:val="true"/>
        </w:trPr>
        <w:tc>
          <w:tcPr>
            <w:tcW w:type="dxa" w:w="135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时间</w:t>
            </w:r>
          </w:p>
        </w:tc>
        <w:tc>
          <w:tcPr>
            <w:tcW w:type="dxa" w:w="458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动作</w:t>
            </w:r>
          </w:p>
        </w:tc>
        <w:tc>
          <w:tcPr>
            <w:tcW w:type="dxa" w:w="343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必须说清的结论</w:t>
            </w:r>
          </w:p>
        </w:tc>
      </w:tr>
      <w:tr>
        <w:trPr>
          <w:trHeight w:hRule="atLeast"/>
          <w:cantSplit w:val="true"/>
        </w:trP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0:00–0:25</w:t>
            </w:r>
          </w:p>
        </w:tc>
        <w:tc>
          <w:tcPr>
            <w:tcW w:type="dxa" w:w="4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打开Operations Overview，展示HTTPS、服务器时间、来源健康和Worker心跳</w:t>
            </w:r>
          </w:p>
        </w:tc>
        <w:tc>
          <w:tcPr>
            <w:tcW w:type="dxa" w:w="3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系统当前真实在线；不是录像</w:t>
            </w:r>
          </w:p>
        </w:tc>
      </w:tr>
      <w:tr>
        <w:trPr>
          <w:trHeight w:hRule="atLeast"/>
          <w:cantSplit w:val="true"/>
        </w:trP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0:25–0:55</w:t>
            </w:r>
          </w:p>
        </w:tc>
        <w:tc>
          <w:tcPr>
            <w:tcW w:type="dxa" w:w="4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打开RECENT案例，展示原始快照、抓取时间、哈希和event_id</w:t>
            </w:r>
          </w:p>
        </w:tc>
        <w:tc>
          <w:tcPr>
            <w:tcW w:type="dxa" w:w="3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真实数据已进入历史账本</w:t>
            </w:r>
          </w:p>
        </w:tc>
      </w:tr>
      <w:tr>
        <w:trPr>
          <w:trHeight w:hRule="atLeast"/>
          <w:cantSplit w:val="true"/>
        </w:trP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0:55–2:15</w:t>
            </w:r>
          </w:p>
        </w:tc>
        <w:tc>
          <w:tcPr>
            <w:tcW w:type="dxa" w:w="4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运行NINEQ Replay，查看声明—证据矩阵、时序身份、最终性和版本更新</w:t>
            </w:r>
          </w:p>
        </w:tc>
        <w:tc>
          <w:tcPr>
            <w:tcW w:type="dxa" w:w="3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同一套代码完成完整正例链路</w:t>
            </w:r>
          </w:p>
        </w:tc>
      </w:tr>
      <w:tr>
        <w:trPr>
          <w:trHeight w:hRule="atLeast"/>
          <w:cantSplit w:val="true"/>
        </w:trP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2:15–2:45</w:t>
            </w:r>
          </w:p>
        </w:tc>
        <w:tc>
          <w:tcPr>
            <w:tcW w:type="dxa" w:w="4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运行WOLF2反例，展示冲突、拒绝和ABSTAIN</w:t>
            </w:r>
          </w:p>
        </w:tc>
        <w:tc>
          <w:tcPr>
            <w:tcW w:type="dxa" w:w="3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系统知道何时不下结论</w:t>
            </w:r>
          </w:p>
        </w:tc>
      </w:tr>
      <w:tr>
        <w:trPr>
          <w:trHeight w:hRule="atLeast"/>
          <w:cantSplit w:val="true"/>
        </w:trP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2:45–3:00</w:t>
            </w:r>
          </w:p>
        </w:tc>
        <w:tc>
          <w:tcPr>
            <w:tcW w:type="dxa" w:w="4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展示模型卡、备份状态和Telegram深链接</w:t>
            </w:r>
          </w:p>
        </w:tc>
        <w:tc>
          <w:tcPr>
            <w:tcW w:type="dxa" w:w="3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AI、工程与通知闭环</w:t>
            </w:r>
          </w:p>
        </w:tc>
      </w:tr>
    </w:tbl>
    <w:p>
      <w:pPr>
        <w:widowControl/>
        <w:spacing w:before="0" w:after="40" w:line="240" w:lineRule="auto"/>
      </w:pPr>
    </w:p>
    <w:p>
      <w:pPr>
        <w:widowControl/>
        <w:spacing w:before="20" w:after="20" w:line="283" w:lineRule="auto"/>
        <w:ind w:left="115" w:right="115"/>
        <w:jc w:val="left"/>
        <w:shd w:fill="EDF7F0"/>
        <w:pBdr>
          <w:left w:val="single" w:sz="22" w:space="8" w:color="217346"/>
        </w:pBdr>
      </w:pPr>
      <w:r>
        <w:rPr>
          <w:rFonts w:ascii="Calibri" w:hAnsi="Calibri" w:eastAsia="Microsoft YaHei"/>
          <w:b/>
          <w:color w:val="217346"/>
          <w:sz w:val="21"/>
        </w:rPr>
        <w:t xml:space="preserve">演示原则  </w:t>
      </w:r>
      <w:r>
        <w:rPr>
          <w:rFonts w:ascii="Calibri" w:hAnsi="Calibri" w:eastAsia="Microsoft YaHei"/>
          <w:color w:val="1E293B"/>
          <w:sz w:val="21"/>
        </w:rPr>
        <w:t>LIVE只证明链路健康，不承担“恰好发生SEC重大事件”的赌注；REPLAY是主演示，案例来自冻结真实数据，并且与正式账本视觉和物理隔离。</w:t>
      </w:r>
    </w:p>
    <w:p>
      <w:pPr>
        <w:widowControl/>
        <w:spacing w:before="0" w:after="80" w:line="240" w:lineRule="auto"/>
      </w:pPr>
    </w:p>
    <w:p>
      <w:pPr>
        <w:pStyle w:val="Heading1"/>
        <w:keepNext/>
        <w:keepLines/>
      </w:pPr>
      <w:r>
        <w:t>9. 数据、事件与安全契约</w:t>
      </w:r>
    </w:p>
    <w:p>
      <w:pPr>
        <w:pStyle w:val="Heading2"/>
        <w:keepNext/>
        <w:keepLines/>
      </w:pPr>
      <w:r>
        <w:t>9.1 必须分开的四层语义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800"/>
        <w:gridCol w:w="4250"/>
        <w:gridCol w:w="3310"/>
      </w:tblGrid>
      <w:tr>
        <w:trPr>
          <w:trHeight w:hRule="atLeast"/>
          <w:tblHeader w:val="true"/>
          <w:cantSplit w:val="true"/>
        </w:trPr>
        <w:tc>
          <w:tcPr>
            <w:tcW w:type="dxa" w:w="18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字段组</w:t>
            </w:r>
          </w:p>
        </w:tc>
        <w:tc>
          <w:tcPr>
            <w:tcW w:type="dxa" w:w="425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回答的问题</w:t>
            </w:r>
          </w:p>
        </w:tc>
        <w:tc>
          <w:tcPr>
            <w:tcW w:type="dxa" w:w="331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示例</w:t>
            </w:r>
          </w:p>
        </w:tc>
      </w:tr>
      <w:tr>
        <w:trPr>
          <w:trHeight w:hRule="atLeast"/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event_polarity</w:t>
            </w:r>
          </w:p>
        </w:tc>
        <w:tc>
          <w:tcPr>
            <w:tcW w:type="dxa" w:w="4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事件内容本身偏正面、负面还是中性？</w:t>
            </w:r>
          </w:p>
        </w:tc>
        <w:tc>
          <w:tcPr>
            <w:tcW w:type="dxa" w:w="3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FAVORABLE / ADVERSE / NEUTRAL / MIXED / UNKNOWN</w:t>
            </w:r>
          </w:p>
        </w:tc>
      </w:tr>
      <w:tr>
        <w:trPr>
          <w:trHeight w:hRule="atLeast"/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severity/finality</w:t>
            </w:r>
          </w:p>
        </w:tc>
        <w:tc>
          <w:tcPr>
            <w:tcW w:type="dxa" w:w="4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事件是否重大、是否已达到法律或业务最终阶段？</w:t>
            </w:r>
          </w:p>
        </w:tc>
        <w:tc>
          <w:tcPr>
            <w:tcW w:type="dxa" w:w="3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申请≠获批≠生效≠注销</w:t>
            </w:r>
          </w:p>
        </w:tc>
      </w:tr>
      <w:tr>
        <w:trPr>
          <w:trHeight w:hRule="atLeast"/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asset_impact</w:t>
            </w:r>
          </w:p>
        </w:tc>
        <w:tc>
          <w:tcPr>
            <w:tcW w:type="dxa" w:w="4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可能影响哪些资产与机制？</w:t>
            </w:r>
          </w:p>
        </w:tc>
        <w:tc>
          <w:tcPr>
            <w:tcW w:type="dxa" w:w="3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只做解释，不把波动当因果证明</w:t>
            </w:r>
          </w:p>
        </w:tc>
      </w:tr>
      <w:tr>
        <w:trPr>
          <w:trHeight w:hRule="atLeast"/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risk_route</w:t>
            </w:r>
          </w:p>
        </w:tc>
        <w:tc>
          <w:tcPr>
            <w:tcW w:type="dxa" w:w="4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是否需要优先人工审核？</w:t>
            </w:r>
          </w:p>
        </w:tc>
        <w:tc>
          <w:tcPr>
            <w:tcW w:type="dxa" w:w="3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RISK_REVIEW / NON_TARGET / ABSTAIN</w:t>
            </w:r>
          </w:p>
        </w:tc>
      </w:tr>
    </w:tbl>
    <w:p>
      <w:pPr>
        <w:widowControl/>
        <w:spacing w:before="0" w:after="40" w:line="240" w:lineRule="auto"/>
      </w:pPr>
    </w:p>
    <w:p>
      <w:pPr>
        <w:pStyle w:val="Heading2"/>
        <w:keepNext/>
        <w:keepLines/>
      </w:pPr>
      <w:r>
        <w:t>9.2 不可逾越的安全边界</w:t>
      </w:r>
    </w:p>
    <w:p>
      <w:pPr>
        <w:widowControl/>
        <w:numPr>
          <w:ilvl w:val="0"/>
          <w:numId w:val="10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仓库、服务器、网页和Telegram均不提供下单、撤单、账户、资金、仓位或API签名能力。</w:t>
      </w:r>
    </w:p>
    <w:p>
      <w:pPr>
        <w:widowControl/>
        <w:numPr>
          <w:ilvl w:val="0"/>
          <w:numId w:val="10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不读取、不挂载、不修改新加坡服务器上既有量化交易目录；加密行情只使用公共只读接口。</w:t>
      </w:r>
    </w:p>
    <w:p>
      <w:pPr>
        <w:widowControl/>
        <w:numPr>
          <w:ilvl w:val="0"/>
          <w:numId w:val="10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密钥只保存在服务器环境变量或secret文件，文档、日志、数据库、截图和Git中不得出现。</w:t>
      </w:r>
    </w:p>
    <w:p>
      <w:pPr>
        <w:widowControl/>
        <w:numPr>
          <w:ilvl w:val="0"/>
          <w:numId w:val="10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行情只用于时间对齐和事后审计，不用于反向证明事件真假或宣传因果收益。</w:t>
      </w:r>
    </w:p>
    <w:p>
      <w:pPr>
        <w:widowControl/>
        <w:numPr>
          <w:ilvl w:val="0"/>
          <w:numId w:val="10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Replay必须明显标识，不得伪装成LIVE；模型异常一律降级，不得静默失败。</w:t>
      </w:r>
    </w:p>
    <w:p>
      <w:pPr>
        <w:pStyle w:val="Heading1"/>
        <w:keepNext/>
        <w:keepLines/>
      </w:pPr>
      <w:r>
        <w:t>10. 三个AI禁飞区与代码理解</w:t>
      </w:r>
    </w:p>
    <w:p>
      <w:pPr>
        <w:keepLines w:val="0"/>
        <w:widowControl/>
        <w:spacing w:before="0" w:after="160" w:line="320" w:lineRule="auto"/>
        <w:jc w:val="both"/>
      </w:pPr>
      <w:r>
        <w:rPr>
          <w:rFonts w:ascii="Calibri" w:hAnsi="Calibri" w:eastAsia="Microsoft YaHei"/>
          <w:color w:val="1E293B"/>
          <w:sz w:val="22"/>
        </w:rPr>
        <w:t>禁飞区必须缩小为纯逻辑内核：无网络、无数据库、无LLM、输入输出稳定、约100–150行，学生手写并逐行解释。Day 1向教师提交一页边界说明并获得书面确认；若自定义第三禁飞区不获认可，则切换到课程标准的多样性重排内核。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300"/>
        <w:gridCol w:w="3800"/>
        <w:gridCol w:w="3260"/>
      </w:tblGrid>
      <w:tr>
        <w:trPr>
          <w:trHeight w:hRule="atLeast"/>
          <w:tblHeader w:val="true"/>
          <w:cantSplit w:val="true"/>
        </w:trPr>
        <w:tc>
          <w:tcPr>
            <w:tcW w:type="dxa" w:w="23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禁飞区</w:t>
            </w:r>
          </w:p>
        </w:tc>
        <w:tc>
          <w:tcPr>
            <w:tcW w:type="dxa" w:w="38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职责</w:t>
            </w:r>
          </w:p>
        </w:tc>
        <w:tc>
          <w:tcPr>
            <w:tcW w:type="dxa" w:w="32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现场必须解释</w:t>
            </w:r>
          </w:p>
        </w:tc>
      </w:tr>
      <w:tr>
        <w:trPr>
          <w:trHeight w:hRule="atLeast"/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event_fingerprint.py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同一事件去重、修订判定、时点身份键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标准化、哈希、误合并/漏合并边界</w:t>
            </w:r>
          </w:p>
        </w:tc>
      </w:tr>
      <w:tr>
        <w:trPr>
          <w:trHeight w:hRule="atLeast"/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evidence_gate.py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支持/反驳/不足、引用完整性、来源独立性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逐声明聚合、阈值、fail closed</w:t>
            </w:r>
          </w:p>
        </w:tc>
      </w:tr>
      <w:tr>
        <w:trPr>
          <w:trHeight w:hRule="atLeast"/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finality_gate.py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阶段状态转换、最终性、禁止模型自动升S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状态机、不变量、非法转换</w:t>
            </w:r>
          </w:p>
        </w:tc>
      </w:tr>
    </w:tbl>
    <w:p>
      <w:pPr>
        <w:widowControl/>
        <w:spacing w:before="0" w:after="40" w:line="240" w:lineRule="auto"/>
      </w:pPr>
    </w:p>
    <w:p>
      <w:pPr>
        <w:widowControl/>
        <w:spacing w:before="20" w:after="20" w:line="283" w:lineRule="auto"/>
        <w:ind w:left="115" w:right="115"/>
        <w:jc w:val="left"/>
        <w:shd w:fill="FDECEC"/>
        <w:pBdr>
          <w:left w:val="single" w:sz="22" w:space="8" w:color="9B1C1C"/>
        </w:pBdr>
      </w:pPr>
      <w:r>
        <w:rPr>
          <w:rFonts w:ascii="Calibri" w:hAnsi="Calibri" w:eastAsia="Microsoft YaHei"/>
          <w:b/>
          <w:color w:val="9B1C1C"/>
          <w:sz w:val="21"/>
        </w:rPr>
        <w:t xml:space="preserve">禁飞区不是装饰  </w:t>
      </w:r>
      <w:r>
        <w:rPr>
          <w:rFonts w:ascii="Calibri" w:hAnsi="Calibri" w:eastAsia="Microsoft YaHei"/>
          <w:color w:val="1E293B"/>
          <w:sz w:val="21"/>
        </w:rPr>
        <w:t>讲不清的模块可能被清零或要求删除重写。外围适配器可由AI协助，但禁飞区必须保留设计草图、手写提交、单元测试和个人讲解记录。</w:t>
      </w:r>
    </w:p>
    <w:p>
      <w:pPr>
        <w:widowControl/>
        <w:spacing w:before="0" w:after="80" w:line="240" w:lineRule="auto"/>
      </w:pPr>
    </w:p>
    <w:p>
      <w:pPr>
        <w:pStyle w:val="Heading1"/>
        <w:keepNext/>
        <w:keepLines/>
      </w:pPr>
      <w:r>
        <w:t>11. Bug注入、即兴修改与答辩韧性</w:t>
      </w:r>
    </w:p>
    <w:p>
      <w:pPr>
        <w:pStyle w:val="Heading2"/>
        <w:keepNext/>
        <w:keepLines/>
      </w:pPr>
      <w:r>
        <w:t>11.1 内部盲测，不冒充官方题目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700"/>
        <w:gridCol w:w="4930"/>
        <w:gridCol w:w="2730"/>
      </w:tblGrid>
      <w:tr>
        <w:trPr>
          <w:trHeight w:hRule="atLeast"/>
          <w:tblHeader w:val="true"/>
          <w:cantSplit w:val="true"/>
        </w:trPr>
        <w:tc>
          <w:tcPr>
            <w:tcW w:type="dxa" w:w="17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类别</w:t>
            </w:r>
          </w:p>
        </w:tc>
        <w:tc>
          <w:tcPr>
            <w:tcW w:type="dxa" w:w="493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内部练习题</w:t>
            </w:r>
          </w:p>
        </w:tc>
        <w:tc>
          <w:tcPr>
            <w:tcW w:type="dxa" w:w="273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定位证据</w:t>
            </w:r>
          </w:p>
        </w:tc>
      </w:tr>
      <w:tr>
        <w:trPr>
          <w:trHeight w:hRule="atLeast"/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基础Bug</w:t>
            </w:r>
          </w:p>
        </w:tc>
        <w:tc>
          <w:tcPr>
            <w:tcW w:type="dxa" w:w="4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时间戳时区错误导致新鲜度为负；event_id大小写不一致</w:t>
            </w:r>
          </w:p>
        </w:tc>
        <w:tc>
          <w:tcPr>
            <w:tcW w:type="dxa" w:w="2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失败测试、结构化日志、最小复现</w:t>
            </w:r>
          </w:p>
        </w:tc>
      </w:tr>
      <w:tr>
        <w:trPr>
          <w:trHeight w:hRule="atLeast"/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边界Bug</w:t>
            </w:r>
          </w:p>
        </w:tc>
        <w:tc>
          <w:tcPr>
            <w:tcW w:type="dxa" w:w="4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同文修订被误判新事件；证据只有转载却越过独立性门</w:t>
            </w:r>
          </w:p>
        </w:tc>
        <w:tc>
          <w:tcPr>
            <w:tcW w:type="dxa" w:w="2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fixture、门函数输出、trace</w:t>
            </w:r>
          </w:p>
        </w:tc>
      </w:tr>
      <w:tr>
        <w:trPr>
          <w:trHeight w:hRule="atLeast"/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集成Bug</w:t>
            </w:r>
          </w:p>
        </w:tc>
        <w:tc>
          <w:tcPr>
            <w:tcW w:type="dxa" w:w="4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outbox重试重复发送；Replay误写正式账本</w:t>
            </w:r>
          </w:p>
        </w:tc>
        <w:tc>
          <w:tcPr>
            <w:tcW w:type="dxa" w:w="2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幂等键、事务、数据库差异</w:t>
            </w:r>
          </w:p>
        </w:tc>
      </w:tr>
    </w:tbl>
    <w:p>
      <w:pPr>
        <w:widowControl/>
        <w:spacing w:before="0" w:after="40" w:line="240" w:lineRule="auto"/>
      </w:pPr>
    </w:p>
    <w:p>
      <w:pPr>
        <w:keepLines w:val="0"/>
        <w:widowControl/>
        <w:spacing w:before="0" w:after="160" w:line="320" w:lineRule="auto"/>
        <w:jc w:val="both"/>
      </w:pPr>
      <w:r>
        <w:rPr>
          <w:rFonts w:ascii="Calibri" w:hAnsi="Calibri" w:eastAsia="Microsoft YaHei"/>
          <w:color w:val="1E293B"/>
          <w:sz w:val="22"/>
        </w:rPr>
        <w:t>每个Sprint由非实现者盲注3个Bug，30分钟内定位并修复；每位成员至少完成3次演练，优秀目标是30分钟修复2–3个并讲清根因、证据、补丁和回归测试。</w:t>
      </w:r>
    </w:p>
    <w:p>
      <w:pPr>
        <w:pStyle w:val="Heading2"/>
        <w:keepNext/>
        <w:keepLines/>
      </w:pPr>
      <w:r>
        <w:t>11.2 即兴修改扩展点</w:t>
      </w:r>
    </w:p>
    <w:p>
      <w:pPr>
        <w:widowControl/>
        <w:numPr>
          <w:ilvl w:val="0"/>
          <w:numId w:val="10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事件类型注册表：新增事件类型不改核心状态机；</w:t>
      </w:r>
    </w:p>
    <w:p>
      <w:pPr>
        <w:widowControl/>
        <w:numPr>
          <w:ilvl w:val="0"/>
          <w:numId w:val="10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网页筛选Schema：新增“证据不足”或来源过滤器；</w:t>
      </w:r>
    </w:p>
    <w:p>
      <w:pPr>
        <w:widowControl/>
        <w:numPr>
          <w:ilvl w:val="0"/>
          <w:numId w:val="10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风险阈值配置：修改阈值必须同步展示模型版本与测试；</w:t>
      </w:r>
    </w:p>
    <w:p>
      <w:pPr>
        <w:widowControl/>
        <w:numPr>
          <w:ilvl w:val="0"/>
          <w:numId w:val="10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Replay场景注册：新增冻结案例只加适配器和fixture；</w:t>
      </w:r>
    </w:p>
    <w:p>
      <w:pPr>
        <w:widowControl/>
        <w:numPr>
          <w:ilvl w:val="0"/>
          <w:numId w:val="10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来源适配器接口：新增官方源不修改账本和证据门。</w:t>
      </w:r>
    </w:p>
    <w:p>
      <w:pPr>
        <w:pStyle w:val="Heading1"/>
        <w:keepNext/>
        <w:keepLines/>
      </w:pPr>
      <w:r>
        <w:t>12. 工程规范、测试与可观测性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500"/>
        <w:gridCol w:w="4940"/>
        <w:gridCol w:w="2920"/>
      </w:tblGrid>
      <w:tr>
        <w:trPr>
          <w:trHeight w:hRule="atLeast"/>
          <w:tblHeader w:val="true"/>
          <w:cantSplit w:val="true"/>
        </w:trPr>
        <w:tc>
          <w:tcPr>
            <w:tcW w:type="dxa" w:w="15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领域</w:t>
            </w:r>
          </w:p>
        </w:tc>
        <w:tc>
          <w:tcPr>
            <w:tcW w:type="dxa" w:w="494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V4.0硬门</w:t>
            </w:r>
          </w:p>
        </w:tc>
        <w:tc>
          <w:tcPr>
            <w:tcW w:type="dxa" w:w="292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验收证据</w:t>
            </w:r>
          </w:p>
        </w:tc>
      </w:tr>
      <w:tr>
        <w:trPr>
          <w:trHeight w:hRule="atLeast"/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Git</w:t>
            </w:r>
          </w:p>
        </w:tc>
        <w:tc>
          <w:tcPr>
            <w:tcW w:type="dxa" w:w="4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Day 1从当前baseline建立有效仓库；细粒度提交，&gt;300行说明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commit、PR/评审、贡献矩阵</w:t>
            </w:r>
          </w:p>
        </w:tc>
      </w:tr>
      <w:tr>
        <w:trPr>
          <w:trHeight w:hRule="atLeast"/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.agent</w:t>
            </w:r>
          </w:p>
        </w:tc>
        <w:tc>
          <w:tcPr>
            <w:tcW w:type="dxa" w:w="4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保存架构、接口、数据、测试、部署、AI日志与每Sprint反思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目录与文档完整</w:t>
            </w:r>
          </w:p>
        </w:tc>
      </w:tr>
      <w:tr>
        <w:trPr>
          <w:trHeight w:hRule="atLeast"/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测试</w:t>
            </w:r>
          </w:p>
        </w:tc>
        <w:tc>
          <w:tcPr>
            <w:tcW w:type="dxa" w:w="4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现有232项不退化；核心覆盖率≥80%；契约/集成/恢复/安全测试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pytest、coverage、报告</w:t>
            </w:r>
          </w:p>
        </w:tc>
      </w:tr>
      <w:tr>
        <w:trPr>
          <w:trHeight w:hRule="atLeast"/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可观测</w:t>
            </w:r>
          </w:p>
        </w:tc>
        <w:tc>
          <w:tcPr>
            <w:tcW w:type="dxa" w:w="4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结构化日志、trace_id、来源新鲜度、队列、模型延迟、备份状态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网页健康页与日志样例</w:t>
            </w:r>
          </w:p>
        </w:tc>
      </w:tr>
      <w:tr>
        <w:trPr>
          <w:trHeight w:hRule="atLeast"/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部署</w:t>
            </w:r>
          </w:p>
        </w:tc>
        <w:tc>
          <w:tcPr>
            <w:tcW w:type="dxa" w:w="4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Docker Compose一键启动；restart policy；HTTPS；最小权限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VPS smoke test与重启测试</w:t>
            </w:r>
          </w:p>
        </w:tc>
      </w:tr>
      <w:tr>
        <w:trPr>
          <w:trHeight w:hRule="atLeast"/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恢复</w:t>
            </w:r>
          </w:p>
        </w:tc>
        <w:tc>
          <w:tcPr>
            <w:tcW w:type="dxa" w:w="4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备份哈希、临时恢复、审计PASS、十分钟目标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恢复演练记录</w:t>
            </w:r>
          </w:p>
        </w:tc>
      </w:tr>
    </w:tbl>
    <w:p>
      <w:pPr>
        <w:widowControl/>
        <w:spacing w:before="0" w:after="40" w:line="240" w:lineRule="auto"/>
      </w:pPr>
    </w:p>
    <w:p>
      <w:pPr>
        <w:pStyle w:val="Heading2"/>
        <w:keepNext/>
        <w:keepLines/>
      </w:pPr>
      <w:r>
        <w:t>12.1 五份必须由人主导的设计产物</w:t>
      </w:r>
    </w:p>
    <w:p>
      <w:pPr>
        <w:widowControl/>
        <w:numPr>
          <w:ilvl w:val="0"/>
          <w:numId w:val="11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总体架构与组件边界；</w:t>
      </w:r>
    </w:p>
    <w:p>
      <w:pPr>
        <w:widowControl/>
        <w:numPr>
          <w:ilvl w:val="0"/>
          <w:numId w:val="11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API/事件/错误契约；</w:t>
      </w:r>
    </w:p>
    <w:p>
      <w:pPr>
        <w:widowControl/>
        <w:numPr>
          <w:ilvl w:val="0"/>
          <w:numId w:val="11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数据模型、迁移和备份恢复设计；</w:t>
      </w:r>
    </w:p>
    <w:p>
      <w:pPr>
        <w:widowControl/>
        <w:numPr>
          <w:ilvl w:val="0"/>
          <w:numId w:val="11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测试策略、禁飞区用例和故障注入表；</w:t>
      </w:r>
    </w:p>
    <w:p>
      <w:pPr>
        <w:widowControl/>
        <w:numPr>
          <w:ilvl w:val="0"/>
          <w:numId w:val="11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VPS部署、安全、回滚与演示Runbook。</w:t>
      </w:r>
    </w:p>
    <w:p>
      <w:pPr>
        <w:pStyle w:val="Heading1"/>
        <w:keepNext/>
        <w:keepLines/>
      </w:pPr>
      <w:r>
        <w:t>13. 12天 / 3个Sprint实施计划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250"/>
        <w:gridCol w:w="5120"/>
        <w:gridCol w:w="2990"/>
      </w:tblGrid>
      <w:tr>
        <w:trPr>
          <w:trHeight w:hRule="atLeast"/>
          <w:tblHeader w:val="true"/>
          <w:cantSplit w:val="true"/>
        </w:trPr>
        <w:tc>
          <w:tcPr>
            <w:tcW w:type="dxa" w:w="125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时间</w:t>
            </w:r>
          </w:p>
        </w:tc>
        <w:tc>
          <w:tcPr>
            <w:tcW w:type="dxa" w:w="512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核心交付</w:t>
            </w:r>
          </w:p>
        </w:tc>
        <w:tc>
          <w:tcPr>
            <w:tcW w:type="dxa" w:w="299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Sprint Gate</w:t>
            </w:r>
          </w:p>
        </w:tc>
      </w:tr>
      <w:tr>
        <w:trPr>
          <w:trHeight w:hRule="atLeast"/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Day 1</w:t>
            </w:r>
          </w:p>
        </w:tc>
        <w:tc>
          <w:tcPr>
            <w:tcW w:type="dxa" w:w="5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高难度评审；冻结V4范围与3禁飞区；建立有效Git、.agent、角色与Backlog</w:t>
            </w:r>
          </w:p>
        </w:tc>
        <w:tc>
          <w:tcPr>
            <w:tcW w:type="dxa" w:w="29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教师确认题级与禁飞区；baseline可复跑</w:t>
            </w:r>
          </w:p>
        </w:tc>
      </w:tr>
      <w:tr>
        <w:trPr>
          <w:trHeight w:hRule="atLeast"/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Day 2–3</w:t>
            </w:r>
          </w:p>
        </w:tc>
        <w:tc>
          <w:tcPr>
            <w:tcW w:type="dxa" w:w="5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Schema 13；FastAPI健康/事件契约；VPS普通用户、Caddy、Compose；备份恢复脚本</w:t>
            </w:r>
          </w:p>
        </w:tc>
        <w:tc>
          <w:tcPr>
            <w:tcW w:type="dxa" w:w="29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公网HTTPS健康页；重启与恢复测试</w:t>
            </w:r>
          </w:p>
        </w:tc>
      </w:tr>
      <w:tr>
        <w:trPr>
          <w:trHeight w:hRule="atLeast"/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Day 4</w:t>
            </w:r>
          </w:p>
        </w:tc>
        <w:tc>
          <w:tcPr>
            <w:tcW w:type="dxa" w:w="5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Sprint 1 Review/Retro；盲注3 Bug；接口和数据库设计封版</w:t>
            </w:r>
          </w:p>
        </w:tc>
        <w:tc>
          <w:tcPr>
            <w:tcW w:type="dxa" w:w="29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过程证据完整；不带红项进入Sprint 2</w:t>
            </w:r>
          </w:p>
        </w:tc>
      </w:tr>
      <w:tr>
        <w:trPr>
          <w:trHeight w:hRule="atLeast"/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Day 5–6</w:t>
            </w:r>
          </w:p>
        </w:tc>
        <w:tc>
          <w:tcPr>
            <w:tcW w:type="dxa" w:w="5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Worker常驻化；只读API；Telegram网页深链；Web Overview/Event页</w:t>
            </w:r>
          </w:p>
        </w:tc>
        <w:tc>
          <w:tcPr>
            <w:tcW w:type="dxa" w:w="29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新事件P95≤5秒可见；数据重启不丢</w:t>
            </w:r>
          </w:p>
        </w:tc>
      </w:tr>
      <w:tr>
        <w:trPr>
          <w:trHeight w:hRule="atLeast"/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Day 7–8</w:t>
            </w:r>
          </w:p>
        </w:tc>
        <w:tc>
          <w:tcPr>
            <w:tcW w:type="dxa" w:w="5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Replay Lab；NINEQ/WOLF2；Evidence Agent实际运行；第二轮Bug</w:t>
            </w:r>
          </w:p>
        </w:tc>
        <w:tc>
          <w:tcPr>
            <w:tcW w:type="dxa" w:w="29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正反例均可回放；trace完整</w:t>
            </w:r>
          </w:p>
        </w:tc>
      </w:tr>
      <w:tr>
        <w:trPr>
          <w:trHeight w:hRule="atLeast"/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Day 9</w:t>
            </w:r>
          </w:p>
        </w:tc>
        <w:tc>
          <w:tcPr>
            <w:tcW w:type="dxa" w:w="5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Sprint 2 Review/Retro；核心覆盖率、API契约、恢复演练</w:t>
            </w:r>
          </w:p>
        </w:tc>
        <w:tc>
          <w:tcPr>
            <w:tcW w:type="dxa" w:w="29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覆盖率≥80%；安全审计PASS</w:t>
            </w:r>
          </w:p>
        </w:tc>
      </w:tr>
      <w:tr>
        <w:trPr>
          <w:trHeight w:hRule="atLeast"/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Day 10</w:t>
            </w:r>
          </w:p>
        </w:tc>
        <w:tc>
          <w:tcPr>
            <w:tcW w:type="dxa" w:w="5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小模型训练、模型卡、Shadow部署；Model &amp; Health页</w:t>
            </w:r>
          </w:p>
        </w:tc>
        <w:tc>
          <w:tcPr>
            <w:tcW w:type="dxa" w:w="29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冻结测试与规则基线对照；异常ABSTAIN</w:t>
            </w:r>
          </w:p>
        </w:tc>
      </w:tr>
      <w:tr>
        <w:trPr>
          <w:trHeight w:hRule="atLeast"/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Day 11</w:t>
            </w:r>
          </w:p>
        </w:tc>
        <w:tc>
          <w:tcPr>
            <w:tcW w:type="dxa" w:w="5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24–48小时运行证据；第三轮Bug；每人即兴修改演练</w:t>
            </w:r>
          </w:p>
        </w:tc>
        <w:tc>
          <w:tcPr>
            <w:tcW w:type="dxa" w:w="29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LIVE/RECENT/REPLAY稳定；Runbook可执行</w:t>
            </w:r>
          </w:p>
        </w:tc>
      </w:tr>
      <w:tr>
        <w:trPr>
          <w:trHeight w:hRule="atLeast"/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Day 12</w:t>
            </w:r>
          </w:p>
        </w:tc>
        <w:tc>
          <w:tcPr>
            <w:tcW w:type="dxa" w:w="5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3分钟答辩、禁飞区走查、材料封版、Sprint 3 Review/Retro</w:t>
            </w:r>
          </w:p>
        </w:tc>
        <w:tc>
          <w:tcPr>
            <w:tcW w:type="dxa" w:w="29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个人讲解与现场修改通过</w:t>
            </w:r>
          </w:p>
        </w:tc>
      </w:tr>
    </w:tbl>
    <w:p>
      <w:pPr>
        <w:widowControl/>
        <w:spacing w:before="0" w:after="40" w:line="240" w:lineRule="auto"/>
      </w:pPr>
    </w:p>
    <w:p>
      <w:pPr>
        <w:widowControl/>
        <w:spacing w:before="20" w:after="20" w:line="283" w:lineRule="auto"/>
        <w:ind w:left="115" w:right="115"/>
        <w:jc w:val="left"/>
        <w:shd w:fill="FFF7E6"/>
        <w:pBdr>
          <w:left w:val="single" w:sz="22" w:space="8" w:color="9A6700"/>
        </w:pBdr>
      </w:pPr>
      <w:r>
        <w:rPr>
          <w:rFonts w:ascii="Calibri" w:hAnsi="Calibri" w:eastAsia="Microsoft YaHei"/>
          <w:b/>
          <w:color w:val="9A6700"/>
          <w:sz w:val="21"/>
        </w:rPr>
        <w:t xml:space="preserve">顺序纪律  </w:t>
      </w:r>
      <w:r>
        <w:rPr>
          <w:rFonts w:ascii="Calibri" w:hAnsi="Calibri" w:eastAsia="Microsoft YaHei"/>
          <w:color w:val="1E293B"/>
          <w:sz w:val="21"/>
        </w:rPr>
        <w:t>服务器部署必须在Day 2–3得到第一份运行证据，不能拖到最后。若Web/API/恢复/Replay尚未闭环，暂停PostgreSQL、WebSocket、React、ONNX等增强项。</w:t>
      </w:r>
    </w:p>
    <w:p>
      <w:pPr>
        <w:widowControl/>
        <w:spacing w:before="0" w:after="80" w:line="240" w:lineRule="auto"/>
      </w:pPr>
    </w:p>
    <w:p>
      <w:pPr>
        <w:pStyle w:val="Heading1"/>
        <w:keepNext/>
        <w:keepLines/>
      </w:pPr>
      <w:r>
        <w:t>14. 定量验收指标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900"/>
        <w:gridCol w:w="4650"/>
        <w:gridCol w:w="2810"/>
      </w:tblGrid>
      <w:tr>
        <w:trPr>
          <w:trHeight w:hRule="atLeast"/>
          <w:tblHeader w:val="true"/>
          <w:cantSplit w:val="true"/>
        </w:trPr>
        <w:tc>
          <w:tcPr>
            <w:tcW w:type="dxa" w:w="19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验收项</w:t>
            </w:r>
          </w:p>
        </w:tc>
        <w:tc>
          <w:tcPr>
            <w:tcW w:type="dxa" w:w="465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通过标准</w:t>
            </w:r>
          </w:p>
        </w:tc>
        <w:tc>
          <w:tcPr>
            <w:tcW w:type="dxa" w:w="281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证据</w:t>
            </w:r>
          </w:p>
        </w:tc>
      </w:tr>
      <w:tr>
        <w:trPr>
          <w:trHeight w:hRule="atLeast"/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公网访问</w:t>
            </w:r>
          </w:p>
        </w:tc>
        <w:tc>
          <w:tcPr>
            <w:tcW w:type="dxa" w:w="4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HTTPS网页可从外网打开；访问控制有效</w:t>
            </w:r>
          </w:p>
        </w:tc>
        <w:tc>
          <w:tcPr>
            <w:tcW w:type="dxa" w:w="2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浏览器实测、TLS信息</w:t>
            </w:r>
          </w:p>
        </w:tc>
      </w:tr>
      <w:tr>
        <w:trPr>
          <w:trHeight w:hRule="atLeast"/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新鲜度</w:t>
            </w:r>
          </w:p>
        </w:tc>
        <w:tc>
          <w:tcPr>
            <w:tcW w:type="dxa" w:w="4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新事件落账后网页P95可见延迟≤5秒</w:t>
            </w:r>
          </w:p>
        </w:tc>
        <w:tc>
          <w:tcPr>
            <w:tcW w:type="dxa" w:w="2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自动时间戳测试</w:t>
            </w:r>
          </w:p>
        </w:tc>
      </w:tr>
      <w:tr>
        <w:trPr>
          <w:trHeight w:hRule="atLeast"/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查询</w:t>
            </w:r>
          </w:p>
        </w:tc>
        <w:tc>
          <w:tcPr>
            <w:tcW w:type="dxa" w:w="4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1,000条事件查询P95≤1秒</w:t>
            </w:r>
          </w:p>
        </w:tc>
        <w:tc>
          <w:tcPr>
            <w:tcW w:type="dxa" w:w="2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基准报告</w:t>
            </w:r>
          </w:p>
        </w:tc>
      </w:tr>
      <w:tr>
        <w:trPr>
          <w:trHeight w:hRule="atLeast"/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持久化</w:t>
            </w:r>
          </w:p>
        </w:tc>
        <w:tc>
          <w:tcPr>
            <w:tcW w:type="dxa" w:w="4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VPS/容器重启后事件、游标、outbox不丢</w:t>
            </w:r>
          </w:p>
        </w:tc>
        <w:tc>
          <w:tcPr>
            <w:tcW w:type="dxa" w:w="2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前后校验</w:t>
            </w:r>
          </w:p>
        </w:tc>
      </w:tr>
      <w:tr>
        <w:trPr>
          <w:trHeight w:hRule="atLeast"/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恢复</w:t>
            </w:r>
          </w:p>
        </w:tc>
        <w:tc>
          <w:tcPr>
            <w:tcW w:type="dxa" w:w="4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备份在10分钟内恢复并通过审计</w:t>
            </w:r>
          </w:p>
        </w:tc>
        <w:tc>
          <w:tcPr>
            <w:tcW w:type="dxa" w:w="2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恢复Runbook记录</w:t>
            </w:r>
          </w:p>
        </w:tc>
      </w:tr>
      <w:tr>
        <w:trPr>
          <w:trHeight w:hRule="atLeast"/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Replay</w:t>
            </w:r>
          </w:p>
        </w:tc>
        <w:tc>
          <w:tcPr>
            <w:tcW w:type="dxa" w:w="4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NINEQ和WOLF2各≤30秒；不污染正式账本</w:t>
            </w:r>
          </w:p>
        </w:tc>
        <w:tc>
          <w:tcPr>
            <w:tcW w:type="dxa" w:w="2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trace与DB差异</w:t>
            </w:r>
          </w:p>
        </w:tc>
      </w:tr>
      <w:tr>
        <w:trPr>
          <w:trHeight w:hRule="atLeast"/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模型治理</w:t>
            </w:r>
          </w:p>
        </w:tc>
        <w:tc>
          <w:tcPr>
            <w:tcW w:type="dxa" w:w="4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100%调用记录版本、哈希、耗时、输出；异常ABSTAIN</w:t>
            </w:r>
          </w:p>
        </w:tc>
        <w:tc>
          <w:tcPr>
            <w:tcW w:type="dxa" w:w="2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model_runs与模型卡</w:t>
            </w:r>
          </w:p>
        </w:tc>
      </w:tr>
      <w:tr>
        <w:trPr>
          <w:trHeight w:hRule="atLeast"/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Telegram</w:t>
            </w:r>
          </w:p>
        </w:tc>
        <w:tc>
          <w:tcPr>
            <w:tcW w:type="dxa" w:w="4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重复发送0；详情深链可达同一event_id</w:t>
            </w:r>
          </w:p>
        </w:tc>
        <w:tc>
          <w:tcPr>
            <w:tcW w:type="dxa" w:w="2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outbox审计</w:t>
            </w:r>
          </w:p>
        </w:tc>
      </w:tr>
      <w:tr>
        <w:trPr>
          <w:trHeight w:hRule="atLeast"/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质量</w:t>
            </w:r>
          </w:p>
        </w:tc>
        <w:tc>
          <w:tcPr>
            <w:tcW w:type="dxa" w:w="4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现有232项不退化；核心覆盖率≥80%；安全审计PASS</w:t>
            </w:r>
          </w:p>
        </w:tc>
        <w:tc>
          <w:tcPr>
            <w:tcW w:type="dxa" w:w="2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CI/pytest/coverage</w:t>
            </w:r>
          </w:p>
        </w:tc>
      </w:tr>
      <w:tr>
        <w:trPr>
          <w:trHeight w:hRule="atLeast"/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安全</w:t>
            </w:r>
          </w:p>
        </w:tc>
        <w:tc>
          <w:tcPr>
            <w:tcW w:type="dxa" w:w="4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密钥泄漏0、交易接口0、Replay伪装0</w:t>
            </w:r>
          </w:p>
        </w:tc>
        <w:tc>
          <w:tcPr>
            <w:tcW w:type="dxa" w:w="2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secret scan与路由审计</w:t>
            </w:r>
          </w:p>
        </w:tc>
      </w:tr>
    </w:tbl>
    <w:p>
      <w:pPr>
        <w:widowControl/>
        <w:spacing w:before="0" w:after="40" w:line="240" w:lineRule="auto"/>
      </w:pPr>
    </w:p>
    <w:p>
      <w:pPr>
        <w:pStyle w:val="Heading1"/>
        <w:keepNext/>
        <w:keepLines/>
      </w:pPr>
      <w:r>
        <w:t>15. 95+评分映射与诚实判断</w:t>
      </w:r>
    </w:p>
    <w:p>
      <w:pPr>
        <w:pStyle w:val="Heading2"/>
        <w:keepNext/>
        <w:keepLines/>
      </w:pPr>
      <w:r>
        <w:t>15.1 校方硬门映射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750"/>
        <w:gridCol w:w="4580"/>
        <w:gridCol w:w="3030"/>
      </w:tblGrid>
      <w:tr>
        <w:trPr>
          <w:trHeight w:hRule="atLeast"/>
          <w:tblHeader w:val="true"/>
          <w:cantSplit w:val="true"/>
        </w:trPr>
        <w:tc>
          <w:tcPr>
            <w:tcW w:type="dxa" w:w="175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维度</w:t>
            </w:r>
          </w:p>
        </w:tc>
        <w:tc>
          <w:tcPr>
            <w:tcW w:type="dxa" w:w="458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V4.0响应</w:t>
            </w:r>
          </w:p>
        </w:tc>
        <w:tc>
          <w:tcPr>
            <w:tcW w:type="dxa" w:w="303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还必须人工完成</w:t>
            </w:r>
          </w:p>
        </w:tc>
      </w:tr>
      <w:tr>
        <w:trPr>
          <w:trHeight w:hRule="atLeast"/>
          <w:cantSplit w:val="true"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高难度认定</w:t>
            </w:r>
          </w:p>
        </w:tc>
        <w:tc>
          <w:tcPr>
            <w:tcW w:type="dxa" w:w="4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与标准A10区分：证据链、时序身份、最终性、服务器产品、可审计回放</w:t>
            </w:r>
          </w:p>
        </w:tc>
        <w:tc>
          <w:tcPr>
            <w:tcW w:type="dxa" w:w="3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Day 1当面审批；未通过则理论上最高95</w:t>
            </w:r>
          </w:p>
        </w:tc>
      </w:tr>
      <w:tr>
        <w:trPr>
          <w:trHeight w:hRule="atLeast"/>
          <w:cantSplit w:val="true"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过程规范20</w:t>
            </w:r>
          </w:p>
        </w:tc>
        <w:tc>
          <w:tcPr>
            <w:tcW w:type="dxa" w:w="4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3 Sprint、Git、.agent、AI日志、Review/Retro、五份设计</w:t>
            </w:r>
          </w:p>
        </w:tc>
        <w:tc>
          <w:tcPr>
            <w:tcW w:type="dxa" w:w="3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每天留真实证据，不补写历史</w:t>
            </w:r>
          </w:p>
        </w:tc>
      </w:tr>
      <w:tr>
        <w:trPr>
          <w:trHeight w:hRule="atLeast"/>
          <w:cantSplit w:val="true"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代码理解30</w:t>
            </w:r>
          </w:p>
        </w:tc>
        <w:tc>
          <w:tcPr>
            <w:tcW w:type="dxa" w:w="4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3个小而纯的手写禁飞区；外围契约化</w:t>
            </w:r>
          </w:p>
        </w:tc>
        <w:tc>
          <w:tcPr>
            <w:tcW w:type="dxa" w:w="3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逐行解释、Bug修复、即兴修改</w:t>
            </w:r>
          </w:p>
        </w:tc>
      </w:tr>
      <w:tr>
        <w:trPr>
          <w:trHeight w:hRule="atLeast"/>
          <w:cantSplit w:val="true"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工程质量20</w:t>
            </w:r>
          </w:p>
        </w:tc>
        <w:tc>
          <w:tcPr>
            <w:tcW w:type="dxa" w:w="4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VPS、HTTPS、API、Web、账本、恢复、覆盖率、可观测</w:t>
            </w:r>
          </w:p>
        </w:tc>
        <w:tc>
          <w:tcPr>
            <w:tcW w:type="dxa" w:w="3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运行证据和故障演练</w:t>
            </w:r>
          </w:p>
        </w:tc>
      </w:tr>
      <w:tr>
        <w:trPr>
          <w:trHeight w:hRule="atLeast"/>
          <w:cantSplit w:val="true"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功能创新20</w:t>
            </w:r>
          </w:p>
        </w:tc>
        <w:tc>
          <w:tcPr>
            <w:tcW w:type="dxa" w:w="4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声明—证据—结论、正反例Replay、风险路由与ABSTAIN</w:t>
            </w:r>
          </w:p>
        </w:tc>
        <w:tc>
          <w:tcPr>
            <w:tcW w:type="dxa" w:w="3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真实指标与消融，不靠宣传</w:t>
            </w:r>
          </w:p>
        </w:tc>
      </w:tr>
      <w:tr>
        <w:trPr>
          <w:trHeight w:hRule="atLeast"/>
          <w:cantSplit w:val="true"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团队协作10</w:t>
            </w:r>
          </w:p>
        </w:tc>
        <w:tc>
          <w:tcPr>
            <w:tcW w:type="dxa" w:w="4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PO/SM/QA/演示职责与贡献矩阵</w:t>
            </w:r>
          </w:p>
        </w:tc>
        <w:tc>
          <w:tcPr>
            <w:tcW w:type="dxa" w:w="3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2–4人均有代码、评审、测试证据</w:t>
            </w:r>
          </w:p>
        </w:tc>
      </w:tr>
    </w:tbl>
    <w:p>
      <w:pPr>
        <w:widowControl/>
        <w:spacing w:before="0" w:after="40" w:line="240" w:lineRule="auto"/>
      </w:pPr>
    </w:p>
    <w:p>
      <w:pPr>
        <w:pStyle w:val="Heading2"/>
        <w:keepNext/>
        <w:keepLines/>
      </w:pPr>
      <w:r>
        <w:t>15.2 分数判断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900"/>
        <w:gridCol w:w="2500"/>
        <w:gridCol w:w="4960"/>
      </w:tblGrid>
      <w:tr>
        <w:trPr>
          <w:trHeight w:hRule="atLeast"/>
          <w:tblHeader w:val="true"/>
          <w:cantSplit w:val="true"/>
        </w:trPr>
        <w:tc>
          <w:tcPr>
            <w:tcW w:type="dxa" w:w="19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状态</w:t>
            </w:r>
          </w:p>
        </w:tc>
        <w:tc>
          <w:tcPr>
            <w:tcW w:type="dxa" w:w="25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判断</w:t>
            </w:r>
          </w:p>
        </w:tc>
        <w:tc>
          <w:tcPr>
            <w:tcW w:type="dxa" w:w="49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理由</w:t>
            </w:r>
          </w:p>
        </w:tc>
      </w:tr>
      <w:tr>
        <w:trPr>
          <w:trHeight w:hRule="atLeast"/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当前今天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优秀研究底座，但不是95交付态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有真实数据、证据、审计和232测试；缺Web/VPS/模型/Replay/Git/.agent/coverage</w:t>
            </w:r>
          </w:p>
        </w:tc>
      </w:tr>
      <w:tr>
        <w:trPr>
          <w:trHeight w:hRule="atLeast"/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V4核心全部实现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现实区间92–96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产品、AI、工程和演示闭环，具备高质量自主项目形态</w:t>
            </w:r>
          </w:p>
        </w:tc>
      </w:tr>
      <w:tr>
        <w:trPr>
          <w:trHeight w:hRule="atLeast"/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再通过高难度审批与强现场考核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95+可争取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分数由实际运行、过程证据、个人理解和现场表现共同决定</w:t>
            </w:r>
          </w:p>
        </w:tc>
      </w:tr>
    </w:tbl>
    <w:p>
      <w:pPr>
        <w:widowControl/>
        <w:spacing w:before="0" w:after="40" w:line="240" w:lineRule="auto"/>
      </w:pPr>
    </w:p>
    <w:p>
      <w:pPr>
        <w:widowControl/>
        <w:spacing w:before="20" w:after="20" w:line="283" w:lineRule="auto"/>
        <w:ind w:left="115" w:right="115"/>
        <w:jc w:val="left"/>
        <w:shd w:fill="EDF7F0"/>
        <w:pBdr>
          <w:left w:val="single" w:sz="22" w:space="8" w:color="217346"/>
        </w:pBdr>
      </w:pPr>
      <w:r>
        <w:rPr>
          <w:rFonts w:ascii="Calibri" w:hAnsi="Calibri" w:eastAsia="Microsoft YaHei"/>
          <w:b/>
          <w:color w:val="217346"/>
          <w:sz w:val="21"/>
        </w:rPr>
        <w:t xml:space="preserve">最终判断  </w:t>
      </w:r>
      <w:r>
        <w:rPr>
          <w:rFonts w:ascii="Calibri" w:hAnsi="Calibri" w:eastAsia="Microsoft YaHei"/>
          <w:color w:val="1E293B"/>
          <w:sz w:val="21"/>
        </w:rPr>
        <w:t>这仍然是优秀项目，而且比只用Telegram的版本更像95+作品；但95+不是因为多了一台服务器，而是因为研究底座被转化为可部署、可恢复、可评测、可走查、能现场修改的完整产品。</w:t>
      </w:r>
    </w:p>
    <w:p>
      <w:pPr>
        <w:widowControl/>
        <w:spacing w:before="0" w:after="80" w:line="240" w:lineRule="auto"/>
      </w:pPr>
    </w:p>
    <w:p>
      <w:pPr>
        <w:pStyle w:val="Heading1"/>
        <w:keepNext/>
        <w:keepLines/>
      </w:pPr>
      <w:r>
        <w:t>16. 风险登记与升级门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800"/>
        <w:gridCol w:w="4800"/>
        <w:gridCol w:w="2760"/>
      </w:tblGrid>
      <w:tr>
        <w:trPr>
          <w:trHeight w:hRule="atLeast"/>
          <w:tblHeader w:val="true"/>
          <w:cantSplit w:val="true"/>
        </w:trPr>
        <w:tc>
          <w:tcPr>
            <w:tcW w:type="dxa" w:w="18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风险</w:t>
            </w:r>
          </w:p>
        </w:tc>
        <w:tc>
          <w:tcPr>
            <w:tcW w:type="dxa" w:w="48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预防 / 降级</w:t>
            </w:r>
          </w:p>
        </w:tc>
        <w:tc>
          <w:tcPr>
            <w:tcW w:type="dxa" w:w="27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停止扩展条件</w:t>
            </w:r>
          </w:p>
        </w:tc>
      </w:tr>
      <w:tr>
        <w:trPr>
          <w:trHeight w:hRule="atLeast"/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范围过大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固定四页Web、一个窄模型、两个Replay；其余进Stretch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任一核心Gate未闭环</w:t>
            </w:r>
          </w:p>
        </w:tc>
      </w:tr>
      <w:tr>
        <w:trPr>
          <w:trHeight w:hRule="atLeast"/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现场无SEC事件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LIVE健康 + RECENT真实捕获 + REPLAY主演示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不得临时伪造LIVE</w:t>
            </w:r>
          </w:p>
        </w:tc>
      </w:tr>
      <w:tr>
        <w:trPr>
          <w:trHeight w:hRule="atLeast"/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VPS/网络故障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Windows本地同版本Replay；冻结证据包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公网不可达立即切本地</w:t>
            </w:r>
          </w:p>
        </w:tc>
      </w:tr>
      <w:tr>
        <w:trPr>
          <w:trHeight w:hRule="atLeast"/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模型无增益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Shadow部署、展示诚实指标与ABSTAIN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不超过规则基线则不参与排序</w:t>
            </w:r>
          </w:p>
        </w:tc>
      </w:tr>
      <w:tr>
        <w:trPr>
          <w:trHeight w:hRule="atLeast"/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SQLite锁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单写者、API只读、WAL、短事务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达到触发条件再迁Postgres</w:t>
            </w:r>
          </w:p>
        </w:tc>
      </w:tr>
      <w:tr>
        <w:trPr>
          <w:trHeight w:hRule="atLeast"/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禁飞区讲不清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缩小纯内核、结对讲解、每日手写练习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讲不清则重写，不扩大功能</w:t>
            </w:r>
          </w:p>
        </w:tc>
      </w:tr>
      <w:tr>
        <w:trPr>
          <w:trHeight w:hRule="atLeast"/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服务器混入交易程序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独立Linux用户、目录、容器、网络与secret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绝不挂载既有量化目录</w:t>
            </w:r>
          </w:p>
        </w:tc>
      </w:tr>
    </w:tbl>
    <w:p>
      <w:pPr>
        <w:widowControl/>
        <w:spacing w:before="0" w:after="40" w:line="240" w:lineRule="auto"/>
      </w:pPr>
    </w:p>
    <w:p>
      <w:pPr>
        <w:pStyle w:val="Heading1"/>
        <w:keepNext/>
        <w:keepLines/>
      </w:pPr>
      <w:r>
        <w:t>17. 最终交付物与Definition of Done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750"/>
        <w:gridCol w:w="4980"/>
        <w:gridCol w:w="2630"/>
      </w:tblGrid>
      <w:tr>
        <w:trPr>
          <w:trHeight w:hRule="atLeast"/>
          <w:tblHeader w:val="true"/>
          <w:cantSplit w:val="true"/>
        </w:trPr>
        <w:tc>
          <w:tcPr>
            <w:tcW w:type="dxa" w:w="175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交付物</w:t>
            </w:r>
          </w:p>
        </w:tc>
        <w:tc>
          <w:tcPr>
            <w:tcW w:type="dxa" w:w="498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必须内容</w:t>
            </w:r>
          </w:p>
        </w:tc>
        <w:tc>
          <w:tcPr>
            <w:tcW w:type="dxa" w:w="263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状态规则</w:t>
            </w:r>
          </w:p>
        </w:tc>
      </w:tr>
      <w:tr>
        <w:trPr>
          <w:trHeight w:hRule="atLeast"/>
          <w:cantSplit w:val="true"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网页终端</w:t>
            </w:r>
          </w:p>
        </w:tc>
        <w:tc>
          <w:tcPr>
            <w:tcW w:type="dxa" w:w="4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四页、三模式、证据矩阵、时间线、健康与模型页</w:t>
            </w:r>
          </w:p>
        </w:tc>
        <w:tc>
          <w:tcPr>
            <w:tcW w:type="dxa" w:w="26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公网和本地均可启动</w:t>
            </w:r>
          </w:p>
        </w:tc>
      </w:tr>
      <w:tr>
        <w:trPr>
          <w:trHeight w:hRule="atLeast"/>
          <w:cantSplit w:val="true"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服务端</w:t>
            </w:r>
          </w:p>
        </w:tc>
        <w:tc>
          <w:tcPr>
            <w:tcW w:type="dxa" w:w="4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Caddy、FastAPI、Worker、Streamlit、模型、持久卷、Compose</w:t>
            </w:r>
          </w:p>
        </w:tc>
        <w:tc>
          <w:tcPr>
            <w:tcW w:type="dxa" w:w="26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重启与健康检查通过</w:t>
            </w:r>
          </w:p>
        </w:tc>
      </w:tr>
      <w:tr>
        <w:trPr>
          <w:trHeight w:hRule="atLeast"/>
          <w:cantSplit w:val="true"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数据资产</w:t>
            </w:r>
          </w:p>
        </w:tc>
        <w:tc>
          <w:tcPr>
            <w:tcW w:type="dxa" w:w="4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正式账本、证据快照、Replay包、备份与恢复记录</w:t>
            </w:r>
          </w:p>
        </w:tc>
        <w:tc>
          <w:tcPr>
            <w:tcW w:type="dxa" w:w="26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哈希可验、模式隔离</w:t>
            </w:r>
          </w:p>
        </w:tc>
      </w:tr>
      <w:tr>
        <w:trPr>
          <w:trHeight w:hRule="atLeast"/>
          <w:cantSplit w:val="true"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AI资产</w:t>
            </w:r>
          </w:p>
        </w:tc>
        <w:tc>
          <w:tcPr>
            <w:tcW w:type="dxa" w:w="4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Agent Schema、提示词/工具版本、小模型工件、数据卡、模型卡</w:t>
            </w:r>
          </w:p>
        </w:tc>
        <w:tc>
          <w:tcPr>
            <w:tcW w:type="dxa" w:w="26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指标可复现、异常可降级</w:t>
            </w:r>
          </w:p>
        </w:tc>
      </w:tr>
      <w:tr>
        <w:trPr>
          <w:trHeight w:hRule="atLeast"/>
          <w:cantSplit w:val="true"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工程资产</w:t>
            </w:r>
          </w:p>
        </w:tc>
        <w:tc>
          <w:tcPr>
            <w:tcW w:type="dxa" w:w="4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有效Git、.agent、五份设计、CI、coverage、安全审计</w:t>
            </w:r>
          </w:p>
        </w:tc>
        <w:tc>
          <w:tcPr>
            <w:tcW w:type="dxa" w:w="26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keepNext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过程真实、当前可复跑</w:t>
            </w:r>
          </w:p>
        </w:tc>
      </w:tr>
      <w:tr>
        <w:trPr>
          <w:trHeight w:hRule="atLeast"/>
          <w:cantSplit w:val="true"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答辩资产</w:t>
            </w:r>
          </w:p>
        </w:tc>
        <w:tc>
          <w:tcPr>
            <w:tcW w:type="dxa" w:w="4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3分钟脚本、禁飞区讲解、Bug/即兴演练记录、离线Runbook</w:t>
            </w:r>
          </w:p>
        </w:tc>
        <w:tc>
          <w:tcPr>
            <w:tcW w:type="dxa" w:w="26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每位成员独立完成</w:t>
            </w:r>
          </w:p>
        </w:tc>
      </w:tr>
    </w:tbl>
    <w:p>
      <w:pPr>
        <w:widowControl/>
        <w:spacing w:before="0" w:after="40" w:line="240" w:lineRule="auto"/>
      </w:pPr>
    </w:p>
    <w:p>
      <w:pPr>
        <w:pStyle w:val="Heading2"/>
        <w:keepNext/>
        <w:keepLines/>
      </w:pPr>
      <w:r>
        <w:t>17.1 DoD硬门</w:t>
      </w:r>
    </w:p>
    <w:p>
      <w:pPr>
        <w:widowControl/>
        <w:numPr>
          <w:ilvl w:val="0"/>
          <w:numId w:val="10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任何计划能力都必须有运行截图、日志、测试或数据库记录后才能改写为“已实现”。</w:t>
      </w:r>
    </w:p>
    <w:p>
      <w:pPr>
        <w:widowControl/>
        <w:numPr>
          <w:ilvl w:val="0"/>
          <w:numId w:val="10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Web、API、Worker、账本、Replay、模型和Telegram共享同一event_id与trace_id。</w:t>
      </w:r>
    </w:p>
    <w:p>
      <w:pPr>
        <w:widowControl/>
        <w:numPr>
          <w:ilvl w:val="0"/>
          <w:numId w:val="10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NINEQ正例与WOLF2反例均能从冻结输入复现，且LIVE/REPLAY不可混淆。</w:t>
      </w:r>
    </w:p>
    <w:p>
      <w:pPr>
        <w:widowControl/>
        <w:numPr>
          <w:ilvl w:val="0"/>
          <w:numId w:val="10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核心覆盖率≥80%，232项既有测试不退化，安全审计和secret scan通过。</w:t>
      </w:r>
    </w:p>
    <w:p>
      <w:pPr>
        <w:widowControl/>
        <w:numPr>
          <w:ilvl w:val="0"/>
          <w:numId w:val="10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VPS重启、容器重启、来源超时、模型加载失败、Telegram重试均有可演示降级。</w:t>
      </w:r>
    </w:p>
    <w:p>
      <w:pPr>
        <w:widowControl/>
        <w:numPr>
          <w:ilvl w:val="0"/>
          <w:numId w:val="10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3个禁飞区、3轮Bug注入和每人即兴修改均有真实记录且能现场解释。</w:t>
      </w:r>
    </w:p>
    <w:p>
      <w:pPr>
        <w:pStyle w:val="Heading1"/>
        <w:keepNext/>
        <w:keepLines/>
      </w:pPr>
      <w:r>
        <w:t>18. 立项结论</w:t>
      </w:r>
    </w:p>
    <w:p>
      <w:pPr>
        <w:keepLines w:val="0"/>
        <w:widowControl/>
        <w:spacing w:before="0" w:after="160" w:line="320" w:lineRule="auto"/>
        <w:jc w:val="both"/>
      </w:pPr>
      <w:r>
        <w:rPr>
          <w:rFonts w:ascii="Calibri" w:hAnsi="Calibri" w:eastAsia="Microsoft YaHei"/>
          <w:color w:val="1E293B"/>
          <w:sz w:val="22"/>
        </w:rPr>
        <w:t>V4.0把Finance Radar从“Telegram上的财经提醒”重新定义为“服务器部署的证据型金融事件情报工作台”。它保留现有最强资产——真实事件历史、修订、证据、时序身份和拒绝案例——同时补上主展示终端、持续运行、历史恢复、小模型治理和确定性回放。该路线与普通新闻聚合Agent有清晰差异，也能在12天内形成完整、可验收的垂直切片。</w:t>
      </w:r>
    </w:p>
    <w:p>
      <w:pPr>
        <w:keepLines w:val="0"/>
        <w:widowControl/>
        <w:spacing w:before="0" w:after="160" w:line="320" w:lineRule="auto"/>
        <w:jc w:val="both"/>
      </w:pPr>
      <w:r>
        <w:rPr>
          <w:rFonts w:ascii="Calibri" w:hAnsi="Calibri" w:eastAsia="Microsoft YaHei"/>
          <w:color w:val="1E293B"/>
          <w:sz w:val="22"/>
        </w:rPr>
        <w:t>项目最值得强调的不是“模型预测更准”，而是“系统更会证明、更会拒绝、更能保存历史，也更能在现场被解释和修改”。只要严格执行核心Gate，不被可选技术分散精力，这个版本足以进入优秀档；再叠加高难度审批、真实过程证据和扎实现场表现，95+具有现实可行性。</w:t>
      </w:r>
    </w:p>
    <w:p>
      <w:pPr>
        <w:widowControl/>
        <w:spacing w:before="20" w:after="20" w:line="283" w:lineRule="auto"/>
        <w:ind w:left="115" w:right="115"/>
        <w:jc w:val="left"/>
        <w:shd w:fill="EAF2F8"/>
        <w:pBdr>
          <w:left w:val="single" w:sz="22" w:space="8" w:color="2E74B5"/>
        </w:pBdr>
      </w:pPr>
      <w:r>
        <w:rPr>
          <w:rFonts w:ascii="Calibri" w:hAnsi="Calibri" w:eastAsia="Microsoft YaHei"/>
          <w:b/>
          <w:color w:val="2E74B5"/>
          <w:sz w:val="21"/>
        </w:rPr>
        <w:t xml:space="preserve">最终取舍  </w:t>
      </w:r>
      <w:r>
        <w:rPr>
          <w:rFonts w:ascii="Calibri" w:hAnsi="Calibri" w:eastAsia="Microsoft YaHei"/>
          <w:color w:val="1E293B"/>
          <w:sz w:val="21"/>
        </w:rPr>
        <w:t>先完成可部署、可恢复、可回放的一条完整事件链；再增加来源和模型。先让评委看懂证据与拒绝；再展示速度和界面。</w:t>
      </w:r>
    </w:p>
    <w:p>
      <w:pPr>
        <w:widowControl/>
        <w:spacing w:before="0" w:after="80" w:line="240" w:lineRule="auto"/>
      </w:pPr>
    </w:p>
    <w:p>
      <w:pPr>
        <w:pStyle w:val="Heading1"/>
        <w:keepNext/>
        <w:keepLines/>
      </w:pPr>
      <w:r>
        <w:t>19. 主要依据与参考资料</w:t>
      </w:r>
    </w:p>
    <w:p>
      <w:pPr>
        <w:widowControl/>
        <w:spacing w:before="0" w:after="80" w:line="276" w:lineRule="auto"/>
        <w:jc w:val="left"/>
      </w:pPr>
      <w:r>
        <w:rPr>
          <w:rFonts w:ascii="Calibri" w:hAnsi="Calibri" w:eastAsia="Microsoft YaHei"/>
          <w:color w:val="1E293B"/>
          <w:sz w:val="19"/>
        </w:rPr>
        <w:t>[1] 北京林业大学2026实训动员会（本地课程文件）：</w:t>
      </w:r>
    </w:p>
    <w:p>
      <w:pPr>
        <w:widowControl/>
        <w:spacing w:before="0" w:after="80" w:line="276" w:lineRule="auto"/>
        <w:jc w:val="left"/>
      </w:pPr>
      <w:r>
        <w:rPr>
          <w:rFonts w:ascii="Calibri" w:hAnsi="Calibri" w:eastAsia="Microsoft YaHei"/>
          <w:color w:val="1E293B"/>
          <w:sz w:val="19"/>
        </w:rPr>
        <w:t>[2] 北京林业大学理学院2026年实现项目列表（本地课程文件）：</w:t>
      </w:r>
    </w:p>
    <w:p>
      <w:pPr>
        <w:widowControl/>
        <w:spacing w:before="0" w:after="80" w:line="276" w:lineRule="auto"/>
        <w:jc w:val="left"/>
      </w:pPr>
      <w:r>
        <w:rPr>
          <w:rFonts w:ascii="Calibri" w:hAnsi="Calibri" w:eastAsia="Microsoft YaHei"/>
          <w:color w:val="1E293B"/>
          <w:sz w:val="19"/>
        </w:rPr>
        <w:t>[3] FastAPI Deployment Concepts：</w:t>
      </w:r>
      <w:hyperlink r:id="rId13">
        <w:r>
          <w:rPr>
            <w:rFonts w:ascii="Calibri" w:hAnsi="Calibri" w:eastAsia="Microsoft YaHei"/>
            <w:color w:val="2E74B5"/>
            <w:u w:val="single"/>
          </w:rPr>
          <w:t>查看来源</w:t>
        </w:r>
      </w:hyperlink>
    </w:p>
    <w:p>
      <w:pPr>
        <w:widowControl/>
        <w:spacing w:before="0" w:after="80" w:line="276" w:lineRule="auto"/>
        <w:jc w:val="left"/>
      </w:pPr>
      <w:r>
        <w:rPr>
          <w:rFonts w:ascii="Calibri" w:hAnsi="Calibri" w:eastAsia="Microsoft YaHei"/>
          <w:color w:val="1E293B"/>
          <w:sz w:val="19"/>
        </w:rPr>
        <w:t>[4] FastAPI WebSockets：</w:t>
      </w:r>
      <w:hyperlink r:id="rId14">
        <w:r>
          <w:rPr>
            <w:rFonts w:ascii="Calibri" w:hAnsi="Calibri" w:eastAsia="Microsoft YaHei"/>
            <w:color w:val="2E74B5"/>
            <w:u w:val="single"/>
          </w:rPr>
          <w:t>查看来源</w:t>
        </w:r>
      </w:hyperlink>
    </w:p>
    <w:p>
      <w:pPr>
        <w:widowControl/>
        <w:spacing w:before="0" w:after="80" w:line="276" w:lineRule="auto"/>
        <w:jc w:val="left"/>
      </w:pPr>
      <w:r>
        <w:rPr>
          <w:rFonts w:ascii="Calibri" w:hAnsi="Calibri" w:eastAsia="Microsoft YaHei"/>
          <w:color w:val="1E293B"/>
          <w:sz w:val="19"/>
        </w:rPr>
        <w:t>[5] Docker Compose in Production：</w:t>
      </w:r>
      <w:hyperlink r:id="rId15">
        <w:r>
          <w:rPr>
            <w:rFonts w:ascii="Calibri" w:hAnsi="Calibri" w:eastAsia="Microsoft YaHei"/>
            <w:color w:val="2E74B5"/>
            <w:u w:val="single"/>
          </w:rPr>
          <w:t>查看来源</w:t>
        </w:r>
      </w:hyperlink>
    </w:p>
    <w:p>
      <w:pPr>
        <w:widowControl/>
        <w:spacing w:before="0" w:after="80" w:line="276" w:lineRule="auto"/>
        <w:jc w:val="left"/>
      </w:pPr>
      <w:r>
        <w:rPr>
          <w:rFonts w:ascii="Calibri" w:hAnsi="Calibri" w:eastAsia="Microsoft YaHei"/>
          <w:color w:val="1E293B"/>
          <w:sz w:val="19"/>
        </w:rPr>
        <w:t>[6] SQLite Online Backup API：</w:t>
      </w:r>
      <w:hyperlink r:id="rId16">
        <w:r>
          <w:rPr>
            <w:rFonts w:ascii="Calibri" w:hAnsi="Calibri" w:eastAsia="Microsoft YaHei"/>
            <w:color w:val="2E74B5"/>
            <w:u w:val="single"/>
          </w:rPr>
          <w:t>查看来源</w:t>
        </w:r>
      </w:hyperlink>
    </w:p>
    <w:p>
      <w:pPr>
        <w:widowControl/>
        <w:spacing w:before="0" w:after="80" w:line="276" w:lineRule="auto"/>
        <w:jc w:val="left"/>
      </w:pPr>
      <w:r>
        <w:rPr>
          <w:rFonts w:ascii="Calibri" w:hAnsi="Calibri" w:eastAsia="Microsoft YaHei"/>
          <w:color w:val="1E293B"/>
          <w:sz w:val="19"/>
        </w:rPr>
        <w:t>[7] SQLite Write-Ahead Logging：</w:t>
      </w:r>
      <w:hyperlink r:id="rId17">
        <w:r>
          <w:rPr>
            <w:rFonts w:ascii="Calibri" w:hAnsi="Calibri" w:eastAsia="Microsoft YaHei"/>
            <w:color w:val="2E74B5"/>
            <w:u w:val="single"/>
          </w:rPr>
          <w:t>查看来源</w:t>
        </w:r>
      </w:hyperlink>
    </w:p>
    <w:p>
      <w:pPr>
        <w:widowControl/>
        <w:spacing w:before="0" w:after="80" w:line="276" w:lineRule="auto"/>
        <w:jc w:val="left"/>
      </w:pPr>
      <w:r>
        <w:rPr>
          <w:rFonts w:ascii="Calibri" w:hAnsi="Calibri" w:eastAsia="Microsoft YaHei"/>
          <w:color w:val="1E293B"/>
          <w:sz w:val="19"/>
        </w:rPr>
        <w:t>[8] SEC Developer Resources and Fair Access：</w:t>
      </w:r>
      <w:hyperlink r:id="rId18">
        <w:r>
          <w:rPr>
            <w:rFonts w:ascii="Calibri" w:hAnsi="Calibri" w:eastAsia="Microsoft YaHei"/>
            <w:color w:val="2E74B5"/>
            <w:u w:val="single"/>
          </w:rPr>
          <w:t>查看来源</w:t>
        </w:r>
      </w:hyperlink>
    </w:p>
    <w:p>
      <w:pPr>
        <w:widowControl/>
        <w:spacing w:before="0" w:after="80" w:line="276" w:lineRule="auto"/>
        <w:jc w:val="left"/>
      </w:pPr>
      <w:r>
        <w:rPr>
          <w:rFonts w:ascii="Calibri" w:hAnsi="Calibri" w:eastAsia="Microsoft YaHei"/>
          <w:color w:val="1E293B"/>
          <w:sz w:val="19"/>
        </w:rPr>
        <w:t>[9] NIST AI 600-1 Generative AI Profile：</w:t>
      </w:r>
      <w:hyperlink r:id="rId19">
        <w:r>
          <w:rPr>
            <w:rFonts w:ascii="Calibri" w:hAnsi="Calibri" w:eastAsia="Microsoft YaHei"/>
            <w:color w:val="2E74B5"/>
            <w:u w:val="single"/>
          </w:rPr>
          <w:t>查看来源</w:t>
        </w:r>
      </w:hyperlink>
    </w:p>
    <w:p>
      <w:pPr>
        <w:widowControl/>
        <w:spacing w:before="0" w:after="80" w:line="276" w:lineRule="auto"/>
        <w:jc w:val="left"/>
      </w:pPr>
      <w:r>
        <w:rPr>
          <w:rFonts w:ascii="Calibri" w:hAnsi="Calibri" w:eastAsia="Microsoft YaHei"/>
          <w:color w:val="1E293B"/>
          <w:sz w:val="19"/>
        </w:rPr>
        <w:t>[10] W3C PROV-O: The PROV Ontology：</w:t>
      </w:r>
      <w:hyperlink r:id="rId20">
        <w:r>
          <w:rPr>
            <w:rFonts w:ascii="Calibri" w:hAnsi="Calibri" w:eastAsia="Microsoft YaHei"/>
            <w:color w:val="2E74B5"/>
            <w:u w:val="single"/>
          </w:rPr>
          <w:t>查看来源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/>
      <w:spacing w:before="0" w:after="0" w:line="240" w:lineRule="auto"/>
      <w:jc w:val="right"/>
    </w:pPr>
    <w:r>
      <w:rPr>
        <w:rFonts w:ascii="Calibri" w:hAnsi="Calibri" w:eastAsia="Microsoft YaHei"/>
        <w:color w:val="667085"/>
        <w:sz w:val="18"/>
      </w:rPr>
      <w:t xml:space="preserve">北京林业大学理学院2026实训  ·  研究监控用途 / 无交易权限  ·  </w:t>
    </w:r>
    <w:r>
      <w:rPr>
        <w:rFonts w:ascii="Calibri" w:hAnsi="Calibri" w:eastAsia="Microsoft YaHei"/>
        <w:color w:val="667085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widowControl/>
      <w:spacing w:before="0" w:after="0" w:line="240" w:lineRule="auto"/>
      <w:jc w:val="left"/>
    </w:pPr>
    <w:r>
      <w:rPr>
        <w:rFonts w:ascii="Calibri" w:hAnsi="Calibri" w:eastAsia="Microsoft YaHei"/>
        <w:b/>
        <w:color w:val="667085"/>
        <w:sz w:val="17"/>
      </w:rPr>
      <w:t>FINANCE RADAR  ·  WEB SITUATION ROOM &amp; EVIDENCE AGENT  ·  V4.0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80"/>
        <w:spacing w:after="80" w:line="290" w:lineRule="auto"/>
      </w:pPr>
      <w:rPr>
        <w:rFonts w:ascii="Calibri" w:hAnsi="Calibri" w:eastAsia="Microsoft YaHe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80" w:line="290" w:lineRule="auto"/>
      </w:pPr>
      <w:rPr>
        <w:rFonts w:ascii="Calibri" w:hAnsi="Calibri" w:eastAsia="Microsoft YaHei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both"/>
    </w:pPr>
    <w:rPr>
      <w:rFonts w:ascii="Calibri" w:hAnsi="Calibri" w:eastAsia="Microsoft YaHe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4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yperlink" Target="https://fastapi.tiangolo.com/deployment/concepts/" TargetMode="External"/><Relationship Id="rId14" Type="http://schemas.openxmlformats.org/officeDocument/2006/relationships/hyperlink" Target="https://fastapi.tiangolo.com/advanced/websockets/" TargetMode="External"/><Relationship Id="rId15" Type="http://schemas.openxmlformats.org/officeDocument/2006/relationships/hyperlink" Target="https://docs.docker.com/compose/how-tos/production/" TargetMode="External"/><Relationship Id="rId16" Type="http://schemas.openxmlformats.org/officeDocument/2006/relationships/hyperlink" Target="https://www.sqlite.org/backup.html" TargetMode="External"/><Relationship Id="rId17" Type="http://schemas.openxmlformats.org/officeDocument/2006/relationships/hyperlink" Target="https://www.sqlite.org/wal.html" TargetMode="External"/><Relationship Id="rId18" Type="http://schemas.openxmlformats.org/officeDocument/2006/relationships/hyperlink" Target="https://www.sec.gov/about/developer-resources" TargetMode="External"/><Relationship Id="rId19" Type="http://schemas.openxmlformats.org/officeDocument/2006/relationships/hyperlink" Target="https://nvlpubs.nist.gov/nistpubs/ai/NIST.AI.600-1.pdf" TargetMode="External"/><Relationship Id="rId20" Type="http://schemas.openxmlformats.org/officeDocument/2006/relationships/hyperlink" Target="https://www.w3.org/TR/prov-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基于多源证据链与实时Web控制台的金融事件情报Agent</dc:title>
  <dc:subject>北京林业大学理学院2026实训自主高难度创新项目任务书V4.0</dc:subject>
  <dc:creator>Finance Radar Project Team</dc:creator>
  <cp:keywords>Finance Radar, Web Situation Room, Evidence Agent, Replay, Audit, No Trading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