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680" w:after="360" w:line="24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1"/>
        </w:rPr>
        <w:t>北京林业大学理学院 2026 实训 · 自主高难度创新项目</w:t>
      </w:r>
    </w:p>
    <w:p>
      <w:pPr>
        <w:widowControl/>
        <w:spacing w:before="0" w:after="100" w:line="252" w:lineRule="auto"/>
        <w:jc w:val="center"/>
      </w:pPr>
      <w:r>
        <w:rPr>
          <w:rFonts w:ascii="Calibri" w:hAnsi="Calibri" w:eastAsia="Microsoft YaHei"/>
          <w:b/>
          <w:i w:val="0"/>
          <w:color w:val="17365D"/>
          <w:sz w:val="40"/>
        </w:rPr>
        <w:t>基于多源证据链与实时 Web 控制台的</w:t>
      </w:r>
    </w:p>
    <w:p>
      <w:pPr>
        <w:widowControl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17365D"/>
          <w:sz w:val="60"/>
        </w:rPr>
        <w:t>金融事件情报 Agent</w:t>
      </w:r>
    </w:p>
    <w:p>
      <w:pPr>
        <w:widowControl/>
        <w:spacing w:before="0" w:after="440" w:line="264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25"/>
        </w:rPr>
        <w:t>全极性事实核验 · 下行风险优先路由 · 历史账本 · 确定性回放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1800"/>
        <w:gridCol w:w="2760"/>
        <w:gridCol w:w="2700"/>
      </w:tblGrid>
      <w:tr>
        <w:trPr>
          <w:trHeight w:hRule="atLeast"/>
          <w:tblHeader w:val="true"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基线日期</w:t>
            </w:r>
          </w:p>
        </w:tc>
        <w:tc>
          <w:tcPr>
            <w:tcW w:type="dxa" w:w="27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主展示</w:t>
            </w:r>
          </w:p>
        </w:tc>
        <w:tc>
          <w:tcPr>
            <w:tcW w:type="dxa" w:w="2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部署形态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V5.2 持续取证任务书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2026-07-19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Evidence Terminal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新加坡 VPS / HTTPS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一句话价值  </w:t>
      </w:r>
      <w:r>
        <w:rPr>
          <w:rFonts w:ascii="Calibri" w:hAnsi="Calibri" w:eastAsia="Microsoft YaHei"/>
          <w:color w:val="1E293B"/>
          <w:sz w:val="21"/>
        </w:rPr>
        <w:t>把外部消息变成可复核、可拒绝、可回放的金融事件证据链；系统不预测涨跌，不读取资金、仓位或交易账户，也不执行交易。</w:t>
      </w:r>
    </w:p>
    <w:p>
      <w:pPr>
        <w:widowControl/>
        <w:spacing w:before="0" w:after="8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版本说明  </w:t>
      </w:r>
      <w:r>
        <w:rPr>
          <w:rFonts w:ascii="Calibri" w:hAnsi="Calibri" w:eastAsia="Microsoft YaHei"/>
          <w:color w:val="1E293B"/>
          <w:sz w:val="21"/>
        </w:rPr>
        <w:t>V5.2 已完成22路分级来源、证据终端、官方HTML/PDF/JSON不可变存档、每5分钟自动采集、每轮最多4份原始证据、事件证据无TTL、30日/12周在线备份、回放、模型盲测、加密异机全量恢复、24小时哈希链取证机制和课程真实性机器门禁。完整24小时窗口仍由机器保持等待；外部盲测诚实失败并阻断模型晋级；教师/学生/Git/练习证据缺失时审计器保持NOT_READY，不允许人工包装。</w:t>
      </w:r>
    </w:p>
    <w:p>
      <w:pPr>
        <w:widowControl/>
        <w:spacing w:before="0" w:after="80" w:line="240" w:lineRule="auto"/>
      </w:pPr>
    </w:p>
    <w:p>
      <w:pPr>
        <w:widowControl/>
        <w:spacing w:before="280" w:after="0" w:line="24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20"/>
        </w:rPr>
        <w:t>自主高难度创新选题申报稿 / 95+ 冲刺版</w:t>
      </w:r>
    </w:p>
    <w:p>
      <w:r>
        <w:br w:type="page"/>
      </w:r>
    </w:p>
    <w:p>
      <w:pPr>
        <w:pStyle w:val="Heading1"/>
        <w:keepNext/>
        <w:keepLines/>
      </w:pPr>
      <w:r>
        <w:t>执行摘要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Finance Radar 已从新闻聚合设想升级为公网运行的金融事件证据终端。它持续接入官方与发现型来源，保存原始观测、修订、事件版本和精确证据段落；通过三栏 Web 工作面同时呈现事件流、声明—证据矩阵和判断上下文；通过固定回放消除“答辩现场恰好没有 SEC 重大事件”的随机性。Telegram 只承担通知和网页深链接，不再是唯一终端。</w:t>
      </w: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当前判断  </w:t>
      </w:r>
      <w:r>
        <w:rPr>
          <w:rFonts w:ascii="Calibri" w:hAnsi="Calibri" w:eastAsia="Microsoft YaHei"/>
          <w:color w:val="1E293B"/>
          <w:sz w:val="21"/>
        </w:rPr>
        <w:t>工程与产品成品已经具备优秀档基础，92–96 分是现实竞争区间。95+ 可以争取，但剩余决定性因素已经不是再堆页面，而是教师高难度认定、学生手写禁飞区、真实分工与提交历史、24 小时运行证据，以及现场 Bug 修复和即兴修改表现。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1. 已验证基线与诚实缺口</w:t>
      </w:r>
    </w:p>
    <w:p>
      <w:pPr>
        <w:pStyle w:val="Heading2"/>
        <w:keepNext/>
        <w:keepLines/>
      </w:pPr>
      <w:r>
        <w:t>1.1 公网成品快照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5900"/>
        <w:gridCol w:w="16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板块</w:t>
            </w:r>
          </w:p>
        </w:tc>
        <w:tc>
          <w:tcPr>
            <w:tcW w:type="dxa" w:w="5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2026-07-19 实测证据</w:t>
            </w:r>
          </w:p>
        </w:tc>
        <w:tc>
          <w:tcPr>
            <w:tcW w:type="dxa" w:w="16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公网入口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HTTPS Web 与 FastAPI；TLS 1.3；API/Web 仅在 loopback 监听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数据账本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22来源；1194事件；3951原始观测；2117版本；2394证据；Schema 12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运行服务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release 20260719T044852Z；API/Web/Worker/Backup/本地模型五服务 active；Worker每5分钟自动采集</w:t>
            </w:r>
          </w:p>
        </w:tc>
        <w:tc>
          <w:tcPr>
            <w:tcW w:type="dxa" w:w="16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7"/>
              </w:rPr>
              <w:t>通过·24h等待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 Agent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claims/edges/summary；81份官方原始HTML/PDF快照与2份精确引文；每轮最多新增4份；分页绕过已存档/失败头部；SHA-256失败0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通过·持续积累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小模型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V1外部盲测失败；V2候选拒绝；生产保持Shadow；V3盲标24条任务仍为0人审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受治理·Shadow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备份恢复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9860项清单全过；Schema 12/3完整恢复；1559.8MB全服务准备；在线保留30日/12周；第二恢复密钥ACL独占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质量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360 tests + 17 subtests；公网产品19/19、行情17/17；五页AppTest通过；上一版浏览器6/6与可访问性纯PASS，本次UI待刷新</w:t>
            </w:r>
          </w:p>
        </w:tc>
        <w:tc>
          <w:tcPr>
            <w:tcW w:type="dxa" w:w="16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7"/>
              </w:rPr>
              <w:t>通过·视觉待刷新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故障与负载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6项故障注入全过；120请求/15并发成功率100%；公网p95 0.832秒；来源故障后自动恢复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通过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1.2 仍未完成，禁止包装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V3双人盲标基础设施已完成，但24条真实任务仍为0人审；不得由AI或同一人伪造双审标签。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连续24小时运行窗口尚在积累；本地计划任务每15分钟自动保存哈希链接证据；只在服务端完整门槛自然满足后转绿，不能提前包装为完成。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三个禁飞区必须由学生本人手写、测试、提交和讲解，现有 AI 代码不能倒签为手写。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教师对高难度自选题和第三禁飞区的批准属于外部课程门槛。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团队分工、个人提交、盲测和即兴修改必须留下真实过程证据，不能补写历史。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当前行情UI改版已通过结构与公网API验收，但大屏、桌面、移动视觉/交互/可访问性矩阵仍须对新release刷新，旧截图只作为基线。</w:t>
      </w:r>
    </w:p>
    <w:p>
      <w:pPr>
        <w:pStyle w:val="Heading1"/>
        <w:keepNext/>
        <w:keepLines/>
      </w:pPr>
      <w:r>
        <w:t>2. 项目定位、用户与边界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目标用户是需要快速理解重大公司、监管和市场结构事件的研究者。系统回答四类问题：发生了什么；哪些原子声明有一手证据；哪些材料支持、反驳或仍不足；该事件是否需要优先人工审核。它不是资讯门户、聊天机器人、量化交易系统或收益预测器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4100"/>
        <w:gridCol w:w="3360"/>
      </w:tblGrid>
      <w:tr>
        <w:trPr>
          <w:trHeight w:hRule="atLeast"/>
          <w:tblHeader w:val="true"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语义层</w:t>
            </w:r>
          </w:p>
        </w:tc>
        <w:tc>
          <w:tcPr>
            <w:tcW w:type="dxa" w:w="4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回答的问题</w:t>
            </w:r>
          </w:p>
        </w:tc>
        <w:tc>
          <w:tcPr>
            <w:tcW w:type="dxa" w:w="3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允许输出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事实极性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事件内容是正面、负面、中性还是混合？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FAVORABLE / ADVERSE / NEUTRAL / MIXED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证据状态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声明是否有精确引用，是否冲突？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EVIDENCE_READY / INSUFFICIENT / HUMAN_REVIEW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风险路由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是否值得优先人工复核？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RISK_REVIEW / NON_TARGET / ABSTAIN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事件最终性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法律或业务阶段是否已达到最终状态？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由确定性状态机与人工规则控制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为何强调负面事件  </w:t>
      </w:r>
      <w:r>
        <w:rPr>
          <w:rFonts w:ascii="Calibri" w:hAnsi="Calibri" w:eastAsia="Microsoft YaHei"/>
          <w:color w:val="1E293B"/>
          <w:sz w:val="21"/>
        </w:rPr>
        <w:t>重大下行风险往往具有损失不对称和审核时效性，因此模型优先路由负面高风险事件是合理的产品目标；这不等于只采集负面新闻，更不等于负面事件一定导致价格下跌。正面和中性事件继续进入账本，并作为 NON_TARGET 对照。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3. 成品架构与数据流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00"/>
        <w:gridCol w:w="2600"/>
        <w:gridCol w:w="5460"/>
      </w:tblGrid>
      <w:tr>
        <w:trPr>
          <w:trHeight w:hRule="atLeast"/>
          <w:tblHeader w:val="true"/>
        </w:trPr>
        <w:tc>
          <w:tcPr>
            <w:tcW w:type="dxa" w:w="1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5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已落地职责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边缘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Nginx + Let's Encrypt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 8443 HTTPS、反向代理、证书自动续期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展示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Streamlit Evidence Terminal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紧凑状态壳层、三栏事件工作台、回放时间轴、运维 SLO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契约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FastAPI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只读查询、受控 Replay/Agent/人工覆盖；统一 envelope 与 trace_id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处理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systemd Worker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持续采集、证据丰富、候选整理、shadow 推理、outbox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数据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SQLite WAL + SHA-256对象仓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Schema 12正式账本；Schema 3运维/Replay/备份/盲标；官方HTML/PDF原始快照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通知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Telegram outbox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幂等、租约、默认 dry-run、显式 --send、网页深链</w:t>
            </w:r>
          </w:p>
        </w:tc>
      </w:tr>
      <w:tr>
        <w:trPr>
          <w:trHeight w:hRule="atLeast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在线备份 + 加密异机同步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SSH/SHA/AES-GCM；防路径穿越；全清单核对；两库隔离恢复与明文清理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3.1 来源分层：事件源与行情源不混写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3300"/>
        <w:gridCol w:w="4160"/>
      </w:tblGrid>
      <w:tr>
        <w:trPr>
          <w:trHeight w:hRule="atLeast"/>
          <w:tblHeader w:val="true"/>
        </w:trPr>
        <w:tc>
          <w:tcPr>
            <w:tcW w:type="dxa" w:w="1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类别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当前来源</w:t>
            </w:r>
          </w:p>
        </w:tc>
        <w:tc>
          <w:tcPr>
            <w:tcW w:type="dxa" w:w="4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用途与边界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 监管/公共安全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SEC、CFTC、FTC、FDIC、FDA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一手规则、执法、申报与警示；可核验事件事实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 宏观/政策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Federal Reserve、BLS、ECB、EIA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政策、通胀、劳工与能源发布；不自动推导资产方向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P1 发行人官方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NVIDIA newsroom 等注册官方渠道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公司声明与修订；权威级别不等于正面或负面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P2 发现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OpenNews、历史研究候选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扩大召回；只能触发核验，不能自动形成最终事实</w:t>
            </w:r>
          </w:p>
        </w:tc>
      </w:tr>
      <w:tr>
        <w:trPr>
          <w:trHeight w:hRule="atLeast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行情观察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Binance公共现货 + Twelve Data落库；IBKR TWS仅本机探针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首次真实观察为基线；T+5m/30m/1d到期采集；错过则MISSED且不补最新价；收益仅作事件后审计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3.2 安全隔离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Finance Radar 使用独立目录、Linux 用户、端口、systemd 服务和数据库；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不进入、不修改、不重启 `/root/ethusdc-pivot-bot`，不读取其中任何交易凭据；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API 没有 orders、positions、balances、brokerage_accounts 或 trade_execution 路由；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行情只读且只用于时间对齐和事后审计，严禁作为事实真假或因果收益的证明。</w:t>
      </w:r>
    </w:p>
    <w:p>
      <w:pPr>
        <w:pStyle w:val="Heading1"/>
        <w:keepNext/>
        <w:keepLines/>
      </w:pPr>
      <w:r>
        <w:t>4. Web Situation Room 与确定性演示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4400"/>
        <w:gridCol w:w="2860"/>
      </w:tblGrid>
      <w:tr>
        <w:trPr>
          <w:trHeight w:hRule="atLeast"/>
          <w:tblHeader w:val="true"/>
        </w:trPr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页面</w:t>
            </w:r>
          </w:p>
        </w:tc>
        <w:tc>
          <w:tcPr>
            <w:tcW w:type="dxa" w:w="44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核心信息</w:t>
            </w:r>
          </w:p>
        </w:tc>
        <w:tc>
          <w:tcPr>
            <w:tcW w:type="dxa" w:w="2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答辩证明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Situation Room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紧凑状态带、快捷流、全终端检索、数据驱动命令条、来源健康、Worker、备份和审核队列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系统在线且可快速定位事件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Event Intelligence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只读Facets、事件族联想、来源筛选、URL连续性、本机命名Flow、声明—证据矩阵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同屏发现、判断、核验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Replay Lab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四固定案例、横向时间轴、证据变化、官方更正、决策与告警资格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不依赖随机外部事件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Operations &amp; Model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SLO、异常来源、备份、原始证据存档、模型卡、漂移门与安全计数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工程运行与治理可审计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Adjudication Studio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双审核者互盲、隐藏模型/来源/事后行情、冲突第三人裁决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证明训练标签来自人审内容而非来源捷径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4.1 三模式协议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LIVE：证明外部连接、来源游标和最新成功采集；没有新事件也可判定成功。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RECENT_CAPTURE：展示真实历史中的发布时间、接收时间、处理时间、原文和哈希。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REPLAY：用冻结真实案例证明证据门、冲突处理、最终性与模型路由可重复。</w:t>
      </w: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三分钟主演示  </w:t>
      </w:r>
      <w:r>
        <w:rPr>
          <w:rFonts w:ascii="Calibri" w:hAnsi="Calibri" w:eastAsia="Microsoft YaHei"/>
          <w:color w:val="1E293B"/>
          <w:sz w:val="21"/>
        </w:rPr>
        <w:t>Situation Room 健康 → 最近真实事件 → SEC 破产案例从 P2 发现到 P0 一手证据 → 冲突/正面控制 → 模型与数据卡 → 备份、trace 和无交易证明。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5. Evidence Agent：会证明，也会拒绝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Agent 采用四节点结构：声明抽取、证据计划、证据关系提议、带引文摘要。所有输出强制结构化，证据边必须包含精确段落、来源 URL、权威层级和内容对象 SHA-256；审核过的官方证据还保存原始HTML/PDF/JSON字节。快照器只接收注册官方来源；其HTTP链接先安全升级HTTPS，重定向后再次复核域名；单件限制10MiB、每轮最多新增4份，事件与证据不设TTL。缺证据返回 INSUFFICIENT，未解决冲突返回 HUMAN_REVIEW，原始快照也不能自动核验事实或进入模型特征。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700"/>
        <w:gridCol w:w="28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对象</w:t>
            </w:r>
          </w:p>
        </w:tc>
        <w:tc>
          <w:tcPr>
            <w:tcW w:type="dxa" w:w="4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关键字段</w:t>
            </w:r>
          </w:p>
        </w:tc>
        <w:tc>
          <w:tcPr>
            <w:tcW w:type="dxa" w:w="2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审计价值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EventClaim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claim_id、text、event_version、material、verification_state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把长新闻拆成可逐条核验的声明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EvidenceEdge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relation、exact_excerpt、source_url、tier、object_sha256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证明哪一段支持或反驳哪条声明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AgentDecision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trace_id、provider、snapshot、tool_calls、guardrails、latency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完整回放模型/工具/守卫状态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HumanOverride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actor、reason、before、after、time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人工决定可追溯，不静默覆盖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当前诚实口径  </w:t>
      </w:r>
      <w:r>
        <w:rPr>
          <w:rFonts w:ascii="Calibri" w:hAnsi="Calibri" w:eastAsia="Microsoft YaHei"/>
          <w:color w:val="1E293B"/>
          <w:sz w:val="21"/>
        </w:rPr>
        <w:t>结构化 Agent 与回环 Qwen2.5-0.5B/llama.cpp 已在线，真实SEC事件返回 llm_used=true；小模型只生成有引用的advisory summary。声明关系、证据门和最终状态仍由确定性图控制，非法输出自动回退，晋级结论保持REMAIN_SHADOW。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6. 小模型：重大下行风险人工审核路由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000"/>
        <w:gridCol w:w="7360"/>
      </w:tblGrid>
      <w:tr>
        <w:trPr>
          <w:trHeight w:hRule="atLeast"/>
          <w:tblHeader w:val="true"/>
        </w:trPr>
        <w:tc>
          <w:tcPr>
            <w:tcW w:type="dxa" w:w="2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V5.2 实际契约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任务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重大下行风险审核路由，不是涨跌或收益预测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模型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word/char TF-IDF + 校准、类别平衡逻辑回归；CPU shadow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样本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897；RISK_REVIEW 546，NON_TARGET 351；包含正面/中性/拒绝控制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切分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时间优先的发行人/事件链连通分组；两类重叠计数均为0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分组留出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覆盖率82.7%；弃权17.3%；覆盖样本准确率95.7%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外部盲测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40条零重叠；风险召回100%；正常新闻误报95%；预注册门槛FAIL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治理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模型/数据卡、SHA-256、三组消融、漂移门、捷径系数审计；强制REMAIN_SHADOW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禁止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LONG、SHORT、目标价、预期收益、严重度、自动告警许可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模型仍保持 Shadow Mode。分组留出集上的三组消融表现较好，但 label-first 外部盲测揭示了真实跨来源失效：39/40条被路由为风险，正常官方新闻误报率95%。系数审计进一步发现 event_family、event_type、discovery_source 等内部分类语言形成捷径，且 NON_TARGET 训练样本不是普通新闻的代表。该失败不回填标签、不在 blind-v1 上调参；V1 只做候选队列高召回路由，不能包装成正负新闻总分类器。</w:t>
      </w:r>
    </w:p>
    <w:p>
      <w:pPr>
        <w:pStyle w:val="Heading1"/>
        <w:keepNext/>
        <w:keepLines/>
      </w:pPr>
      <w:r>
        <w:t>7. 木桶式剩余实施计划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2500"/>
        <w:gridCol w:w="5660"/>
      </w:tblGrid>
      <w:tr>
        <w:trPr>
          <w:trHeight w:hRule="atLeast"/>
          <w:tblHeader w:val="true"/>
        </w:trPr>
        <w:tc>
          <w:tcPr>
            <w:tcW w:type="dxa" w:w="1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优先级</w:t>
            </w:r>
          </w:p>
        </w:tc>
        <w:tc>
          <w:tcPr>
            <w:tcW w:type="dxa" w:w="2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短板</w:t>
            </w:r>
          </w:p>
        </w:tc>
        <w:tc>
          <w:tcPr>
            <w:tcW w:type="dxa" w:w="56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完成定义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教师审批与禁飞区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真实证据路径/哈希/提交写入manifest；3个学生内核完成后审计转绿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真实过程与现场能力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成员角色、每人3次Bug和1次即兴修改；当前11项机器检查保持false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24小时运行证据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每15分钟SHA-256链已自动取证；等待服务端完整门槛后生成PASS报告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本地证据摘要模型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Qwen2.5 0.5B / llama.cpp回环部署；冻结对比与线上接受已过；仅做证据摘要，不决定标签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异机备份与换机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AES-GCM；9860项清单；1559.8MB全服务准备；在线保留30日/12周；新VPS失败前置门；显式激活；仓库外第二密钥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原始证据存档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81份官方HTML/PDF快照；注册官方来源安全升级HTTPS；每轮最多4份；分页绕过已存档/失败头部；支持HTML/PDF/JSON；无TTL；哈希抽检失败0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模型诚实补证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40条外部盲测已冻结并执行；失败归因与晋级阻断已落地；继续 Shadow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OPTION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模型V2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只在时间允许时做内容字段去泄漏和独立开发负样本；锁定后必须新建blind-v2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DONE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安全与体验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限流/负载已过；五页结构、键盘导航和可执行断网终端已验收；当前UI浏览器矩阵仍待刷新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停止扩展规则  </w:t>
      </w:r>
      <w:r>
        <w:rPr>
          <w:rFonts w:ascii="Calibri" w:hAnsi="Calibri" w:eastAsia="Microsoft YaHei"/>
          <w:color w:val="1E293B"/>
          <w:sz w:val="21"/>
        </w:rPr>
        <w:t>只要 P0/P1 有红项，就不投入 PostgreSQL、React、Kubernetes、Redis、Celery 或任何交易功能。每完成一个短板，都必须留下可复核证据，再进入下一桶板。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8. 学生禁飞区与现场考核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00"/>
        <w:gridCol w:w="3600"/>
        <w:gridCol w:w="3460"/>
      </w:tblGrid>
      <w:tr>
        <w:trPr>
          <w:trHeight w:hRule="atLeast"/>
          <w:tblHeader w:val="true"/>
        </w:trPr>
        <w:tc>
          <w:tcPr>
            <w:tcW w:type="dxa" w:w="2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禁飞区</w:t>
            </w:r>
          </w:p>
        </w:tc>
        <w:tc>
          <w:tcPr>
            <w:tcW w:type="dxa" w:w="3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建议职责</w:t>
            </w:r>
          </w:p>
        </w:tc>
        <w:tc>
          <w:tcPr>
            <w:tcW w:type="dxa" w:w="3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学生现场证明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event_fingerprint.py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事件归一、修订与同一性判断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标准化、哈希、误合并/漏合并边界；≥18项测试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evidence_gate.py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声明覆盖、冲突和来源独立性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逐声明聚合、fail closed；≥18项测试</w:t>
            </w:r>
          </w:p>
        </w:tc>
      </w:tr>
      <w:tr>
        <w:trPr>
          <w:trHeight w:hRule="atLeast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finality_gate.py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阶段状态、身份冲突、最终性与等级上限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状态机、不变量、非法转换；≥20项测试并获教师批准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禁飞区必须无网络、无数据库、无 LLM，控制在约80–150有效行。学生保留设计草图、失败测试、手写提交和讲解脚本。AI 只允许协助外围适配、文档和测试基础设施，不能代写最终禁飞区。</w:t>
      </w:r>
    </w:p>
    <w:p>
      <w:pPr>
        <w:pStyle w:val="Heading2"/>
        <w:keepNext/>
        <w:keepLines/>
      </w:pPr>
      <w:r>
        <w:t>8.1 Bug 注入与即兴修改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每个 Sprint 由非实现者盲注3个 Bug；内部题库必须标为练习，不冒充官方题。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每位成员至少完成3次计时练习，30分钟优秀目标为修复并解释2–3个问题。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即兴修改优先选择字段、筛选器、阈值、Replay fixture 或来源适配器，必须补回归测试。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答题话术固定为：复现 → 定位证据 → 根因 → 最小补丁 → 回归 → 安全边界。</w:t>
      </w:r>
    </w:p>
    <w:p>
      <w:pPr>
        <w:pStyle w:val="Heading1"/>
        <w:keepNext/>
        <w:keepLines/>
      </w:pPr>
      <w:r>
        <w:t>9. 定量验收与交付物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560"/>
        <w:gridCol w:w="300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验收项</w:t>
            </w:r>
          </w:p>
        </w:tc>
        <w:tc>
          <w:tcPr>
            <w:tcW w:type="dxa" w:w="4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通过标准</w:t>
            </w:r>
          </w:p>
        </w:tc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 / 剩余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公网产品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HTTPS Web/API 可用；五页和三模式可操作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证据治理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重大声明有精确引文；缺失/冲突强制拒绝或人工复核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已通过安全后备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运行恢复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服务自启；24小时无重复爆炸；加密包清单/两库/发布版隔离恢复成功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全量恢复已过；24小时待积累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测试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全量&lt;60秒；禁飞区行/分支覆盖&gt;80%；定向测试&lt;10秒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全量已过；禁飞区待学生完成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安全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secret 泄漏0、交易路由0、模型越权0、Replay伪装0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已通过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过程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 Git、分工、Review/Retro、AI 使用记录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真实性审计已建；当前0提交/11项缺证，待学生形成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现场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每人讲解负责内核；Bug 与即兴修改在时限内完成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待团队演练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9.1 最终交付包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公网 Web/API、systemd 服务、Nginx HTTPS 和回滚 release；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Schema 12 正式账本、Schema 3 运维/Replay/备份/盲标轨迹、官方HTML/PDF与精确引文内容寻址对象；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四案例 Replay（含SEC官方更正撤回）、Agent trace、模型/数据卡与结构化训练清单；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30日/12周备份、每日 AES-GCM 异机副本、全清单/两库隔离恢复报告、24小时哈希链、故障注入和120/15负载报告；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两层离线交付：110份精选证据ZIP用于无服务复核；可执行终端含22条真实事件、证据、Replay、影子模型、API和五页Web；只允许回环，不含采集器、Telegram、券商/交易所客户端、密钥或交易能力；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人读任务书、AI 执行规范、.agent 过程文件和答辩 Runbook；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可直接填写的教师审批单与学生执行证据包（不冒充真实审批/练习）；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学生手写禁飞区、个人贡献、计时练习和教师审批材料，以及READY课程审计报告。</w:t>
      </w:r>
    </w:p>
    <w:p>
      <w:pPr>
        <w:pStyle w:val="Heading1"/>
        <w:keepNext/>
        <w:keepLines/>
      </w:pPr>
      <w:r>
        <w:t>10. 95+判断与立项结论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2600"/>
        <w:gridCol w:w="49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层次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判断</w:t>
            </w:r>
          </w:p>
        </w:tc>
        <w:tc>
          <w:tcPr>
            <w:tcW w:type="dxa" w:w="4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决定因素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工程成品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已经优秀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真实公网闭环、证据历史、回放、模型治理、备份恢复和故障证据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课程项目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具备92–96竞争力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任务难度、完整度和答辩确定性已足够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最终95+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可以争取但不保证</w:t>
            </w:r>
          </w:p>
        </w:tc>
        <w:tc>
          <w:tcPr>
            <w:tcW w:type="dxa" w:w="4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教师认定、学生独立理解、真实过程与现场修复/修改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最终取舍  </w:t>
      </w:r>
      <w:r>
        <w:rPr>
          <w:rFonts w:ascii="Calibri" w:hAnsi="Calibri" w:eastAsia="Microsoft YaHei"/>
          <w:color w:val="1E293B"/>
          <w:sz w:val="21"/>
        </w:rPr>
        <w:t>后续最有价值的工作不是继续堆功能，而是把当前成品变成学生真正掌握、教师认可、连续运行、现场能改的作品。完成 P0/P1 后即可封版；其余增强全部降为可选。</w:t>
      </w:r>
    </w:p>
    <w:p>
      <w:pPr>
        <w:widowControl/>
        <w:spacing w:before="0" w:after="8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Finance Radar 的突出点不在于“模型告诉你买卖”，而在于系统能够保存消息如何变化、指出哪条声明由哪段一手证据支持、在冲突或不足时拒绝下结论，并把数据、模型、Agent、备份和演示统一在可审计的工程链路中。这一定位与普通新闻聚合或情绪分析项目有明确差异，适合作为自主高难度创新选题。</w:t>
      </w:r>
    </w:p>
    <w:p>
      <w:pPr>
        <w:pStyle w:val="Heading1"/>
        <w:keepNext/>
        <w:keepLines/>
      </w:pPr>
      <w:r>
        <w:t>主要依据与参考资料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[1] 北京林业大学2026实训动员会（课程文件）：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[2] 北京林业大学理学院2026年实现项目列表（课程文件）：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[3] SEC Developer Resources and Fair Access：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[4] ECB RSS Feeds：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[5] U.S. EIA RSS Feeds：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[6] NVIDIA Newsroom RSS：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[7] FastAPI Deployment Concepts：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[8] SQLite Online Backup API：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[9] Model Cards for Model Reporting：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[10] Datasheets for Datasets：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[11] W3C PROV-O：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北京林业大学理学院2026实训  ·  研究监控 / 无交易能力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667085"/>
        <w:sz w:val="17"/>
      </w:rPr>
      <w:t>FINANCE RADAR  ·  EVIDENCE TERMINAL BASELINE  ·  V5.2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c.gov/about/developer-resources" TargetMode="External"/><Relationship Id="rId12" Type="http://schemas.openxmlformats.org/officeDocument/2006/relationships/hyperlink" Target="https://www.ecb.europa.eu/home/html/rss.en.html" TargetMode="External"/><Relationship Id="rId13" Type="http://schemas.openxmlformats.org/officeDocument/2006/relationships/hyperlink" Target="https://www.eia.gov/tools/rssfeeds/" TargetMode="External"/><Relationship Id="rId14" Type="http://schemas.openxmlformats.org/officeDocument/2006/relationships/hyperlink" Target="https://nvidianews.nvidia.com/releases.xml" TargetMode="External"/><Relationship Id="rId15" Type="http://schemas.openxmlformats.org/officeDocument/2006/relationships/hyperlink" Target="https://fastapi.tiangolo.com/deployment/concepts/" TargetMode="External"/><Relationship Id="rId16" Type="http://schemas.openxmlformats.org/officeDocument/2006/relationships/hyperlink" Target="https://www.sqlite.org/backup.html" TargetMode="External"/><Relationship Id="rId17" Type="http://schemas.openxmlformats.org/officeDocument/2006/relationships/hyperlink" Target="https://arxiv.org/abs/1810.03993" TargetMode="External"/><Relationship Id="rId18" Type="http://schemas.openxmlformats.org/officeDocument/2006/relationships/hyperlink" Target="https://arxiv.org/abs/1803.09010" TargetMode="External"/><Relationship Id="rId19" Type="http://schemas.openxmlformats.org/officeDocument/2006/relationships/hyperlink" Target="https://www.w3.org/TR/prov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基于多源证据链与实时Web证据终端的金融事件情报Agent V5.2</dc:title>
  <dc:subject>北京林业大学理学院2026实训自主高难度创新项目任务书</dc:subject>
  <dc:creator>Finance Radar Project Team</dc:creator>
  <cp:keywords>Finance Radar, Evidence Agent, Web, Replay, Audit, No Trading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