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支付宝当面付2.0 集成说明文档——PHP版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pStyle w:val="11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rPr>
          <w:rFonts w:ascii="微软雅黑" w:hAnsi="微软雅黑" w:eastAsia="微软雅黑"/>
          <w:sz w:val="32"/>
          <w:szCs w:val="32"/>
        </w:rPr>
        <w:fldChar w:fldCharType="begin"/>
      </w:r>
      <w:r>
        <w:rPr>
          <w:rFonts w:ascii="微软雅黑" w:hAnsi="微软雅黑" w:eastAsia="微软雅黑"/>
          <w:sz w:val="32"/>
          <w:szCs w:val="32"/>
        </w:rPr>
        <w:instrText xml:space="preserve"> TOC \o "1-3" </w:instrText>
      </w:r>
      <w:r>
        <w:rPr>
          <w:rFonts w:ascii="微软雅黑" w:hAnsi="微软雅黑" w:eastAsia="微软雅黑"/>
          <w:sz w:val="32"/>
          <w:szCs w:val="32"/>
        </w:rPr>
        <w:fldChar w:fldCharType="separate"/>
      </w:r>
      <w:r>
        <w:rPr>
          <w:rFonts w:hint="eastAsia"/>
        </w:rPr>
        <w:t>一．程序功能说明：</w:t>
      </w:r>
      <w:r>
        <w:tab/>
      </w:r>
      <w:r>
        <w:fldChar w:fldCharType="begin"/>
      </w:r>
      <w:r>
        <w:instrText xml:space="preserve"> PAGEREF _Toc325895671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rPr>
          <w:rFonts w:hint="eastAsia"/>
        </w:rPr>
        <w:t>二．运行环境要求：</w:t>
      </w:r>
      <w:r>
        <w:tab/>
      </w:r>
      <w:r>
        <w:fldChar w:fldCharType="begin"/>
      </w:r>
      <w:r>
        <w:instrText xml:space="preserve"> PAGEREF _Toc325895672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rPr>
          <w:rFonts w:hint="eastAsia"/>
        </w:rPr>
        <w:t>三．封装代码结构</w:t>
      </w:r>
      <w:r>
        <w:tab/>
      </w:r>
      <w:r>
        <w:fldChar w:fldCharType="begin"/>
      </w:r>
      <w:r>
        <w:instrText xml:space="preserve"> PAGEREF _Toc325895673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rPr>
          <w:rFonts w:hint="eastAsia"/>
        </w:rPr>
        <w:t>四．接口方法</w:t>
      </w:r>
      <w:r>
        <w:tab/>
      </w:r>
      <w:r>
        <w:fldChar w:fldCharType="begin"/>
      </w:r>
      <w:r>
        <w:instrText xml:space="preserve"> PAGEREF _Toc325895674 \h </w:instrText>
      </w:r>
      <w:r>
        <w:fldChar w:fldCharType="separate"/>
      </w:r>
      <w:r>
        <w:t>3</w:t>
      </w:r>
      <w:r>
        <w:fldChar w:fldCharType="end"/>
      </w:r>
    </w:p>
    <w:p>
      <w:pPr>
        <w:pStyle w:val="11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rPr>
          <w:rFonts w:hint="eastAsia"/>
        </w:rPr>
        <w:t>五．相应接口流程</w:t>
      </w:r>
      <w:r>
        <w:tab/>
      </w:r>
      <w:r>
        <w:fldChar w:fldCharType="begin"/>
      </w:r>
      <w:r>
        <w:instrText xml:space="preserve"> PAGEREF _Toc325895675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t>1</w:t>
      </w:r>
      <w:r>
        <w:rPr>
          <w:rFonts w:hint="eastAsia"/>
        </w:rPr>
        <w:t>、条码支付流程：</w:t>
      </w:r>
      <w:r>
        <w:tab/>
      </w:r>
      <w:r>
        <w:fldChar w:fldCharType="begin"/>
      </w:r>
      <w:r>
        <w:instrText xml:space="preserve"> PAGEREF _Toc325895676 \h </w:instrText>
      </w:r>
      <w:r>
        <w:fldChar w:fldCharType="separate"/>
      </w:r>
      <w:r>
        <w:t>4</w:t>
      </w:r>
      <w:r>
        <w:fldChar w:fldCharType="end"/>
      </w:r>
    </w:p>
    <w:p>
      <w:pPr>
        <w:pStyle w:val="14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t>2</w:t>
      </w:r>
      <w:r>
        <w:rPr>
          <w:rFonts w:hint="eastAsia"/>
        </w:rPr>
        <w:t>、查询接口流程</w:t>
      </w:r>
      <w:r>
        <w:tab/>
      </w:r>
      <w:r>
        <w:fldChar w:fldCharType="begin"/>
      </w:r>
      <w:r>
        <w:instrText xml:space="preserve"> PAGEREF _Toc325895677 \h </w:instrText>
      </w:r>
      <w:r>
        <w:fldChar w:fldCharType="separate"/>
      </w:r>
      <w:r>
        <w:t>6</w:t>
      </w:r>
      <w:r>
        <w:fldChar w:fldCharType="end"/>
      </w:r>
    </w:p>
    <w:p>
      <w:pPr>
        <w:pStyle w:val="14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t>3</w:t>
      </w:r>
      <w:r>
        <w:rPr>
          <w:rFonts w:hint="eastAsia"/>
        </w:rPr>
        <w:t>、退款接口流程：</w:t>
      </w:r>
      <w:r>
        <w:tab/>
      </w:r>
      <w:r>
        <w:fldChar w:fldCharType="begin"/>
      </w:r>
      <w:r>
        <w:instrText xml:space="preserve"> PAGEREF _Toc325895678 \h </w:instrText>
      </w:r>
      <w:r>
        <w:fldChar w:fldCharType="separate"/>
      </w:r>
      <w:r>
        <w:t>8</w:t>
      </w:r>
      <w:r>
        <w:fldChar w:fldCharType="end"/>
      </w:r>
    </w:p>
    <w:p>
      <w:pPr>
        <w:pStyle w:val="14"/>
        <w:tabs>
          <w:tab w:val="right" w:leader="dot" w:pos="8296"/>
        </w:tabs>
        <w:spacing w:after="312" w:afterLines="100"/>
        <w:rPr>
          <w:sz w:val="24"/>
          <w:szCs w:val="24"/>
        </w:rPr>
      </w:pPr>
      <w:r>
        <w:t>4</w:t>
      </w:r>
      <w:r>
        <w:rPr>
          <w:rFonts w:hint="eastAsia"/>
        </w:rPr>
        <w:t>、扫码支付（不含异步通知）</w:t>
      </w:r>
      <w:r>
        <w:tab/>
      </w:r>
      <w:r>
        <w:fldChar w:fldCharType="begin"/>
      </w:r>
      <w:r>
        <w:instrText xml:space="preserve"> PAGEREF _Toc325895679 \h </w:instrText>
      </w:r>
      <w:r>
        <w:fldChar w:fldCharType="separate"/>
      </w:r>
      <w:r>
        <w:t>10</w:t>
      </w:r>
      <w:r>
        <w:fldChar w:fldCharType="end"/>
      </w:r>
    </w:p>
    <w:p>
      <w:pPr>
        <w:spacing w:after="312" w:afterLines="100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fldChar w:fldCharType="end"/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pStyle w:val="2"/>
      </w:pPr>
      <w:bookmarkStart w:id="0" w:name="_Toc325895671"/>
      <w:r>
        <w:rPr>
          <w:rFonts w:hint="eastAsia"/>
        </w:rPr>
        <w:t>一．程序功能说明：</w:t>
      </w:r>
      <w:bookmarkEnd w:id="0"/>
    </w:p>
    <w:p>
      <w:pPr>
        <w:ind w:firstLine="420"/>
        <w:jc w:val="left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在支付宝标准SDK的基础上再做了一层封装， 即PHP版本demo中f2fpay文件夹(集成了支付轮询撤销逻辑)</w:t>
      </w:r>
    </w:p>
    <w:p>
      <w:pPr>
        <w:pStyle w:val="2"/>
      </w:pPr>
      <w:bookmarkStart w:id="1" w:name="_Toc325895672"/>
      <w:r>
        <w:rPr>
          <w:rFonts w:hint="eastAsia"/>
        </w:rPr>
        <w:t>二．运行环境要求：</w:t>
      </w:r>
      <w:bookmarkEnd w:id="1"/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000000"/>
          <w:szCs w:val="21"/>
        </w:rPr>
        <w:t>PHP5.5以上</w:t>
      </w:r>
    </w:p>
    <w:p>
      <w:pPr>
        <w:pStyle w:val="2"/>
      </w:pPr>
      <w:bookmarkStart w:id="2" w:name="_Toc325895673"/>
      <w:r>
        <w:rPr>
          <w:rFonts w:hint="eastAsia"/>
        </w:rPr>
        <w:t>三．封装代码结构</w:t>
      </w:r>
      <w:bookmarkEnd w:id="2"/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###f2fpay文件夹目录代码结构###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|____config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|____config.php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 //配置文件（appid、密钥等）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|____log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//日志文件夹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|____log.txt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|____model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|____builder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|____AlipayTradePayContentBuilder.php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ascii="Menlo" w:hAnsi="Menlo"/>
          <w:color w:val="000000"/>
          <w:sz w:val="24"/>
          <w:szCs w:val="24"/>
        </w:rPr>
        <w:t>条码支付请求bizContent结构体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|____AlipayTradePrecreateContentBuilder.php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ascii="Menlo" w:hAnsi="Menlo"/>
          <w:color w:val="000000"/>
          <w:sz w:val="24"/>
          <w:szCs w:val="24"/>
        </w:rPr>
        <w:t>扫码支付(</w:t>
      </w:r>
      <w:r>
        <w:rPr>
          <w:rFonts w:hint="eastAsia" w:ascii="Menlo" w:hAnsi="Menlo"/>
          <w:color w:val="000000"/>
          <w:sz w:val="24"/>
          <w:szCs w:val="24"/>
        </w:rPr>
        <w:t>生成</w:t>
      </w:r>
      <w:r>
        <w:rPr>
          <w:rFonts w:ascii="Menlo" w:hAnsi="Menlo"/>
          <w:color w:val="000000"/>
          <w:sz w:val="24"/>
          <w:szCs w:val="24"/>
        </w:rPr>
        <w:t>二维码)请求bizContent结构体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|____AlipayTradeQueryContentBuilder.php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ascii="Menlo" w:hAnsi="Menlo"/>
          <w:color w:val="000000"/>
          <w:sz w:val="24"/>
          <w:szCs w:val="24"/>
        </w:rPr>
        <w:t>查询请求bizContent结构体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Menlo" w:hAnsi="Menlo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|____AlipayTradeRefundContentBuilder.php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ascii="Menlo" w:hAnsi="Menlo"/>
          <w:color w:val="000000"/>
          <w:sz w:val="24"/>
          <w:szCs w:val="24"/>
        </w:rPr>
        <w:t>退款请求bizContent结构体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|____AlipayTradeCancelContentBuilder.php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hint="eastAsia" w:ascii="Menlo" w:hAnsi="Menlo"/>
          <w:color w:val="000000"/>
          <w:sz w:val="24"/>
          <w:szCs w:val="24"/>
        </w:rPr>
        <w:t>撤销</w:t>
      </w:r>
      <w:r>
        <w:rPr>
          <w:rFonts w:ascii="Menlo" w:hAnsi="Menlo"/>
          <w:color w:val="000000"/>
          <w:sz w:val="24"/>
          <w:szCs w:val="24"/>
        </w:rPr>
        <w:t>请求bizContent结构体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|____ExtendParams.php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//扩展参数构造类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|____GoodsDetail.php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//商品详情参数构造类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|____RoyaltyDetailInfo.php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//分润参数构造类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|____result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|____AlipayF2FPayResult.php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//条码支付应答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|____AlipayF2FPrecreateResult.php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</w:t>
      </w:r>
      <w:r>
        <w:rPr>
          <w:rFonts w:ascii="Menlo" w:hAnsi="Menlo"/>
          <w:color w:val="000000"/>
          <w:sz w:val="24"/>
          <w:szCs w:val="24"/>
        </w:rPr>
        <w:t>扫码支付(</w:t>
      </w:r>
      <w:r>
        <w:rPr>
          <w:rFonts w:hint="eastAsia" w:ascii="Menlo" w:hAnsi="Menlo"/>
          <w:color w:val="000000"/>
          <w:sz w:val="24"/>
          <w:szCs w:val="24"/>
        </w:rPr>
        <w:t>生成</w:t>
      </w:r>
      <w:r>
        <w:rPr>
          <w:rFonts w:ascii="Menlo" w:hAnsi="Menlo"/>
          <w:color w:val="000000"/>
          <w:sz w:val="24"/>
          <w:szCs w:val="24"/>
        </w:rPr>
        <w:t>二维码)</w:t>
      </w:r>
      <w:r>
        <w:rPr>
          <w:rFonts w:hint="eastAsia" w:ascii="Menlo" w:hAnsi="Menlo"/>
          <w:color w:val="000000"/>
          <w:sz w:val="24"/>
          <w:szCs w:val="24"/>
        </w:rPr>
        <w:t>应答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|____AlipayF2FQueryResult.php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//查询应答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 |____AlipayF2FRefundResult.php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//退款应答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|____service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 |____AlipayTradeService.php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//当面付2.0服务实现，包括条码支付（带轮询）、扫码支付、消费查询、消费退款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|____barpay_test.php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//条码测试页面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|____qrpay_test.php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//扫码（二维码）测试页面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|____query_test.php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//查询测试页面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</w:rPr>
      </w:pPr>
      <w:r>
        <w:rPr>
          <w:rFonts w:ascii="Menlo Regular" w:hAnsi="Menlo Regular" w:cs="Menlo Regular"/>
          <w:color w:val="000000"/>
          <w:kern w:val="0"/>
          <w:sz w:val="22"/>
        </w:rPr>
        <w:t>|____refund_test.php</w:t>
      </w:r>
      <w:r>
        <w:rPr>
          <w:rFonts w:hint="eastAsia" w:ascii="Menlo Regular" w:hAnsi="Menlo Regular" w:cs="Menlo Regular"/>
          <w:color w:val="000000"/>
          <w:kern w:val="0"/>
          <w:sz w:val="22"/>
        </w:rPr>
        <w:t xml:space="preserve"> //退款测试页面</w:t>
      </w:r>
    </w:p>
    <w:p>
      <w:pPr>
        <w:rPr>
          <w:rFonts w:ascii="Calibri" w:hAnsi="Calibri"/>
          <w:color w:val="000000"/>
          <w:szCs w:val="21"/>
        </w:rPr>
      </w:pPr>
    </w:p>
    <w:p>
      <w:pPr>
        <w:pStyle w:val="2"/>
      </w:pPr>
      <w:bookmarkStart w:id="3" w:name="_Toc325895674"/>
      <w:r>
        <w:rPr>
          <w:rFonts w:hint="eastAsia"/>
        </w:rPr>
        <w:t>四．接口方法</w:t>
      </w:r>
      <w:bookmarkEnd w:id="3"/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微软雅黑" w:hAnsi="微软雅黑" w:eastAsia="微软雅黑"/>
          <w:b/>
          <w:bCs/>
          <w:color w:val="000000"/>
          <w:szCs w:val="21"/>
        </w:rPr>
        <w:t>AlipayTradeService</w:t>
      </w:r>
      <w:r>
        <w:rPr>
          <w:rFonts w:hint="eastAsia" w:ascii="微软雅黑" w:hAnsi="微软雅黑" w:eastAsia="微软雅黑"/>
          <w:b/>
          <w:bCs/>
          <w:color w:val="000000"/>
          <w:szCs w:val="21"/>
        </w:rPr>
        <w:t>.php文件中相应方法：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000000"/>
          <w:szCs w:val="21"/>
        </w:rPr>
        <w:t>// 当面付2.0条码支付(带轮询逻辑)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微软雅黑" w:hAnsi="微软雅黑" w:eastAsia="微软雅黑"/>
          <w:b/>
          <w:bCs/>
          <w:color w:val="000000"/>
          <w:szCs w:val="21"/>
        </w:rPr>
        <w:tab/>
      </w:r>
      <w:r>
        <w:rPr>
          <w:rFonts w:ascii="微软雅黑" w:hAnsi="微软雅黑" w:eastAsia="微软雅黑"/>
          <w:b/>
          <w:bCs/>
          <w:color w:val="000000"/>
          <w:szCs w:val="21"/>
        </w:rPr>
        <w:t>public function barPay($req)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</w:p>
    <w:p>
      <w:pPr>
        <w:ind w:firstLine="420"/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// 当面付2.0消费查询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微软雅黑" w:hAnsi="微软雅黑" w:eastAsia="微软雅黑"/>
          <w:b/>
          <w:bCs/>
          <w:color w:val="000000"/>
          <w:szCs w:val="21"/>
        </w:rPr>
        <w:tab/>
      </w:r>
      <w:r>
        <w:rPr>
          <w:rFonts w:ascii="微软雅黑" w:hAnsi="微软雅黑" w:eastAsia="微软雅黑"/>
          <w:b/>
          <w:bCs/>
          <w:color w:val="000000"/>
          <w:szCs w:val="21"/>
        </w:rPr>
        <w:t>public function queryTradeResult($outTradeNo)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</w:p>
    <w:p>
      <w:pPr>
        <w:ind w:firstLine="420"/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// 当面付2.0消费退款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微软雅黑" w:hAnsi="微软雅黑" w:eastAsia="微软雅黑"/>
          <w:b/>
          <w:bCs/>
          <w:color w:val="000000"/>
          <w:szCs w:val="21"/>
        </w:rPr>
        <w:tab/>
      </w:r>
      <w:r>
        <w:rPr>
          <w:rFonts w:ascii="微软雅黑" w:hAnsi="微软雅黑" w:eastAsia="微软雅黑"/>
          <w:b/>
          <w:bCs/>
          <w:color w:val="000000"/>
          <w:szCs w:val="21"/>
        </w:rPr>
        <w:t xml:space="preserve">public function refund($req) 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</w:p>
    <w:p>
      <w:pPr>
        <w:ind w:firstLine="420"/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//当面付2.0预下单(生成二维码,带轮询)</w:t>
      </w:r>
    </w:p>
    <w:p>
      <w:pPr>
        <w:jc w:val="lef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ascii="微软雅黑" w:hAnsi="微软雅黑" w:eastAsia="微软雅黑"/>
          <w:b/>
          <w:bCs/>
          <w:color w:val="000000"/>
          <w:szCs w:val="21"/>
        </w:rPr>
        <w:tab/>
      </w:r>
      <w:r>
        <w:rPr>
          <w:rFonts w:ascii="微软雅黑" w:hAnsi="微软雅黑" w:eastAsia="微软雅黑"/>
          <w:b/>
          <w:bCs/>
          <w:color w:val="000000"/>
          <w:szCs w:val="21"/>
        </w:rPr>
        <w:t>public function qrPay($req)</w:t>
      </w:r>
    </w:p>
    <w:p>
      <w:pPr>
        <w:rPr>
          <w:rFonts w:ascii="Calibri" w:hAnsi="Calibri"/>
          <w:color w:val="000000"/>
          <w:szCs w:val="21"/>
        </w:rPr>
      </w:pPr>
    </w:p>
    <w:p>
      <w:pPr>
        <w:pStyle w:val="2"/>
      </w:pPr>
      <w:bookmarkStart w:id="4" w:name="_Toc325895675"/>
      <w:r>
        <w:rPr>
          <w:rFonts w:hint="eastAsia"/>
        </w:rPr>
        <w:t>五．相应接口流程</w:t>
      </w:r>
      <w:bookmarkEnd w:id="4"/>
    </w:p>
    <w:p>
      <w:pPr>
        <w:pStyle w:val="3"/>
        <w:rPr>
          <w:rFonts w:ascii="Calibri" w:hAnsi="Calibri"/>
        </w:rPr>
      </w:pPr>
      <w:bookmarkStart w:id="5" w:name="_Toc325895676"/>
      <w:r>
        <w:rPr>
          <w:rFonts w:hint="eastAsia"/>
        </w:rPr>
        <w:t>1、条码支付流程：</w:t>
      </w:r>
      <w:bookmarkEnd w:id="5"/>
    </w:p>
    <w:p>
      <w:pPr>
        <w:rPr>
          <w:rFonts w:ascii="Calibri" w:hAnsi="Calibr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/>
          <w:szCs w:val="21"/>
        </w:rPr>
        <w:t>提供：支付、查询、退款</w:t>
      </w:r>
      <w:r>
        <w:rPr>
          <w:rFonts w:ascii="Calibri" w:hAnsi="Calibri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（条码支付），封装了支付宝</w:t>
      </w:r>
      <w:r>
        <w:rPr>
          <w:rFonts w:ascii="Calibri" w:hAnsi="Calibri"/>
          <w:color w:val="000000"/>
          <w:szCs w:val="21"/>
        </w:rPr>
        <w:t>SDK</w:t>
      </w:r>
      <w:r>
        <w:rPr>
          <w:rFonts w:hint="eastAsia" w:ascii="微软雅黑" w:hAnsi="微软雅黑" w:eastAsia="微软雅黑"/>
          <w:color w:val="000000"/>
          <w:szCs w:val="21"/>
        </w:rPr>
        <w:t>，提供给收银系统界面直接调用。</w:t>
      </w:r>
    </w:p>
    <w:p>
      <w:pPr>
        <w:rPr>
          <w:rFonts w:ascii="Calibri" w:hAnsi="Calibr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030345"/>
            <wp:effectExtent l="0" t="0" r="889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示例代码：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A9B7C6"/>
                <w:kern w:val="0"/>
                <w:sz w:val="22"/>
              </w:rPr>
            </w:pP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t>// 创建请求builder，设置请求参数</w:t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$barPayRequestBuilder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AlipayTradePayContentBuilder()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setOutTradeNo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$outTradeNo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setTotalAmount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$totalAmount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setAuthCode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$authCode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</w:pP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</w:pP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t>// 调用barPay方法获取当面付应答</w:t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$barPay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AlipayTradeService(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$config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$barPayResult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barPay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A9B7C6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//获得支付结果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switch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getTradeStatus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 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"SUCCESS"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"支付宝支付成功:"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.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"FAILED"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"支付宝支付失败!!!"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.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if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())) 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    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"UNKNOWN"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 xml:space="preserve">"系统异常，订单状态未知!!!"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.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if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())) 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    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$barPayResult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default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"不支持的交易状态，交易返回异常!!!"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</w:p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rPr>
          <w:rFonts w:ascii="Calibri" w:hAnsi="Calibri"/>
        </w:rPr>
      </w:pPr>
      <w:bookmarkStart w:id="6" w:name="_Toc325895677"/>
      <w:r>
        <w:rPr>
          <w:rFonts w:hint="eastAsia"/>
        </w:rPr>
        <w:t>2、查询接口流程</w:t>
      </w:r>
      <w:bookmarkEnd w:id="6"/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10330"/>
            <wp:effectExtent l="0" t="0" r="889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示例代码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A9B7C6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//获取商户订单号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$out_trade_no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= trim(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$_POST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[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'out_trade_no'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])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</w:pP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</w:pPr>
            <w:r>
              <w:rPr>
                <w:rFonts w:hint="eastAsia"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//初始化类对象，调用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queryTradeResult</w:t>
            </w:r>
            <w:r>
              <w:rPr>
                <w:rFonts w:hint="eastAsia"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方法获取查询应答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</w:pP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$queryResponse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AlipayTradeService(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$config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40332B"/>
              </w:rPr>
              <w:t>$queryResult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$queryResponse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queryTradeResult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$out_trade_no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</w:p>
          <w:p>
            <w:pPr>
              <w:pStyle w:val="16"/>
              <w:shd w:val="clear" w:color="auto" w:fill="2B2B2B"/>
              <w:rPr>
                <w:rFonts w:hint="eastAsia" w:ascii="Menlo" w:hAnsi="Menlo"/>
                <w:color w:val="A9B7C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//</w:t>
            </w: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t>根据查询返回结果状态进行业务处理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switch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getTradeStatus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"SUCCESS"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"支付宝查询交易成功:"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"FAILED"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"支付宝查询交易失败或者交易已关闭!!!"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    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"UNKNOWN"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"系统异常，订单状态未知!!!"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    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344134"/>
              </w:rPr>
              <w:t>$queryResult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default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"不支持的查询状态，交易返回异常!!!"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</w:p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rPr>
          <w:rFonts w:ascii="Calibri" w:hAnsi="Calibri"/>
        </w:rPr>
      </w:pPr>
      <w:bookmarkStart w:id="7" w:name="_Toc325895678"/>
      <w:r>
        <w:rPr>
          <w:rFonts w:hint="eastAsia"/>
        </w:rPr>
        <w:t>3、退款接口流程：</w:t>
      </w:r>
      <w:bookmarkEnd w:id="7"/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895090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示例代码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Courier"/>
                <w:color w:val="A9B7C6"/>
                <w:kern w:val="0"/>
                <w:sz w:val="22"/>
              </w:rPr>
            </w:pP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t>//创建退款请求builder,设置参数</w:t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$refundRequestBuilder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AlipayTradeRefundContentBuilder()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setOutTradeNo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$out_trade_no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setRefundAmount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$refund_amount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setOutRequestNo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$out_request_no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t>//初始化类对象,调用refund获取退款应答</w:t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$refundResponse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AlipayTradeService(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$config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 xml:space="preserve">$refundResult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=    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refund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$refundRequestBuilder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t>//根据交易状态进行处理</w:t>
            </w:r>
            <w:r>
              <w:rPr>
                <w:rFonts w:ascii="微软雅黑" w:hAnsi="微软雅黑" w:eastAsia="微软雅黑" w:cs="Courier"/>
                <w:color w:val="808080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switch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getTradeStatus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"SUCCESS"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"支付宝退款成功:"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"FAILED"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"支付宝退款失败!!!"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 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"UNKNOWN"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"系统异常，订单状态未知!!!"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   print_r(</w:t>
            </w:r>
            <w:r>
              <w:rPr>
                <w:rFonts w:ascii="微软雅黑" w:hAnsi="微软雅黑" w:eastAsia="微软雅黑" w:cs="Courier"/>
                <w:color w:val="9876AA"/>
                <w:kern w:val="0"/>
                <w:sz w:val="22"/>
                <w:shd w:val="clear" w:color="auto" w:fill="232525"/>
              </w:rPr>
              <w:t>$refundResult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 w:cs="Courier"/>
                <w:color w:val="FFC66D"/>
                <w:kern w:val="0"/>
                <w:sz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default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 w:cs="Courier"/>
                <w:color w:val="6A8759"/>
                <w:kern w:val="0"/>
                <w:sz w:val="22"/>
                <w:shd w:val="clear" w:color="auto" w:fill="232525"/>
              </w:rPr>
              <w:t>"不支持的交易状态，交易返回异常!!!"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 w:cs="Courier"/>
                <w:b/>
                <w:bCs/>
                <w:color w:val="CC7832"/>
                <w:kern w:val="0"/>
                <w:sz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 w:cs="Courier"/>
                <w:color w:val="CC7832"/>
                <w:kern w:val="0"/>
                <w:sz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 w:cs="Courier"/>
                <w:color w:val="A9B7C6"/>
                <w:kern w:val="0"/>
                <w:sz w:val="22"/>
                <w:shd w:val="clear" w:color="auto" w:fill="232525"/>
              </w:rPr>
              <w:t>}</w:t>
            </w:r>
          </w:p>
          <w:p>
            <w:pPr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rPr>
          <w:rFonts w:ascii="微软雅黑" w:hAnsi="微软雅黑" w:eastAsia="微软雅黑"/>
          <w:color w:val="000000"/>
          <w:szCs w:val="21"/>
        </w:rPr>
      </w:pPr>
      <w:bookmarkStart w:id="8" w:name="_Toc325895679"/>
      <w:r>
        <w:rPr>
          <w:rFonts w:hint="eastAsia"/>
        </w:rPr>
        <w:t>4、扫码支付（不含异步通知）</w:t>
      </w:r>
      <w:bookmarkEnd w:id="8"/>
    </w:p>
    <w:p>
      <w:pPr>
        <w:rPr>
          <w:rFonts w:ascii="Calibri" w:hAnsi="Calibri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预下单（扫码支付）接口</w:t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03403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示例代码：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shd w:val="clear" w:color="auto" w:fill="2B2B2B"/>
              <w:rPr>
                <w:rFonts w:ascii="微软雅黑" w:hAnsi="微软雅黑" w:eastAsia="微软雅黑"/>
                <w:color w:val="A9B7C6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t>// 创建请求builder，设置请求参数</w:t>
            </w: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 xml:space="preserve">$qrPayRequestBuilder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AlipayTradePrecreateContentBuilder()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$qrPayRequestBuilder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setOutTradeNo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$outTradeNo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$qrPayRequestBuilder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setTotalAmount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$totalAmount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</w:p>
          <w:p>
            <w:pPr>
              <w:pStyle w:val="16"/>
              <w:shd w:val="clear" w:color="auto" w:fill="2B2B2B"/>
              <w:rPr>
                <w:rFonts w:hint="eastAsia" w:ascii="Menlo" w:hAnsi="Menlo"/>
                <w:color w:val="A9B7C6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t>// 调用qrPay方法获取当面付应答</w:t>
            </w: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 xml:space="preserve">$qrPay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new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AlipayTradeService(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$config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 xml:space="preserve">$qrPayResult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= 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qrPay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$qrPayRequestBuilder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t>// 根据状态值进行业务处理</w:t>
            </w:r>
            <w:r>
              <w:rPr>
                <w:rFonts w:ascii="微软雅黑" w:hAnsi="微软雅黑" w:eastAsia="微软雅黑"/>
                <w:color w:val="808080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switch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getTradeStatus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"SUCCESS"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"支付宝支付成功:"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"FAILED"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"支付宝支付失败!!!"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 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case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"UNKNOWN"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"系统异常，订单状态未知!!!"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.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"&lt;br&gt;--------------------------&lt;br&gt;"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if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(!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empty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())){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   print_r(</w:t>
            </w:r>
            <w:r>
              <w:rPr>
                <w:rFonts w:ascii="微软雅黑" w:hAnsi="微软雅黑" w:eastAsia="微软雅黑"/>
                <w:color w:val="9876AA"/>
                <w:sz w:val="22"/>
                <w:szCs w:val="22"/>
                <w:shd w:val="clear" w:color="auto" w:fill="232525"/>
              </w:rPr>
              <w:t>$qrPayResult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-&gt;</w:t>
            </w:r>
            <w:r>
              <w:rPr>
                <w:rFonts w:ascii="微软雅黑" w:hAnsi="微软雅黑" w:eastAsia="微软雅黑"/>
                <w:color w:val="FFC66D"/>
                <w:sz w:val="22"/>
                <w:szCs w:val="22"/>
                <w:shd w:val="clear" w:color="auto" w:fill="232525"/>
              </w:rPr>
              <w:t>getResponse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())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default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:</w:t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 xml:space="preserve">echo </w:t>
            </w:r>
            <w:r>
              <w:rPr>
                <w:rFonts w:ascii="微软雅黑" w:hAnsi="微软雅黑" w:eastAsia="微软雅黑"/>
                <w:color w:val="6A8759"/>
                <w:sz w:val="22"/>
                <w:szCs w:val="22"/>
                <w:shd w:val="clear" w:color="auto" w:fill="232525"/>
              </w:rPr>
              <w:t>"不支持的交易状态，交易返回异常!!!"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 xml:space="preserve">      </w:t>
            </w:r>
            <w:r>
              <w:rPr>
                <w:rFonts w:ascii="微软雅黑" w:hAnsi="微软雅黑" w:eastAsia="微软雅黑"/>
                <w:b/>
                <w:bCs/>
                <w:color w:val="CC7832"/>
                <w:sz w:val="22"/>
                <w:szCs w:val="22"/>
                <w:shd w:val="clear" w:color="auto" w:fill="232525"/>
              </w:rPr>
              <w:t>break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t>;</w:t>
            </w:r>
            <w:r>
              <w:rPr>
                <w:rFonts w:ascii="微软雅黑" w:hAnsi="微软雅黑" w:eastAsia="微软雅黑"/>
                <w:color w:val="CC7832"/>
                <w:sz w:val="22"/>
                <w:szCs w:val="22"/>
                <w:shd w:val="clear" w:color="auto" w:fill="232525"/>
              </w:rPr>
              <w:br w:type="textWrapping"/>
            </w:r>
            <w:r>
              <w:rPr>
                <w:rFonts w:ascii="微软雅黑" w:hAnsi="微软雅黑" w:eastAsia="微软雅黑"/>
                <w:color w:val="A9B7C6"/>
                <w:sz w:val="22"/>
                <w:szCs w:val="22"/>
                <w:shd w:val="clear" w:color="auto" w:fill="232525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color w:val="000000"/>
          <w:szCs w:val="21"/>
        </w:rPr>
      </w:pPr>
    </w:p>
    <w:p>
      <w:pP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扫码支付获得支付结果：</w:t>
      </w:r>
    </w:p>
    <w:p>
      <w:pP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方案一：</w:t>
      </w: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采用上面的查询接口。</w:t>
      </w:r>
    </w:p>
    <w:p>
      <w:pP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方案二：</w:t>
      </w: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采用轮询逻辑：</w:t>
      </w:r>
    </w:p>
    <w:p>
      <w:pPr>
        <w:jc w:val="left"/>
        <w:rPr>
          <w:rFonts w:ascii="微软雅黑" w:hAnsi="微软雅黑" w:eastAsia="微软雅黑"/>
          <w:sz w:val="22"/>
        </w:rPr>
      </w:pP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pict>
          <v:shape id="_x0000_i1025" o:spt="75" type="#_x0000_t75" style="height:138.3pt;width:440.5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扫码支付获得支付结果：</w:t>
      </w:r>
    </w:p>
    <w:p>
      <w:pP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方案一：</w:t>
      </w: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采用上面的查询接口。</w:t>
      </w:r>
    </w:p>
    <w:p>
      <w:pP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方案二：</w:t>
      </w: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微软雅黑"/>
          <w:color w:val="000000" w:themeColor="text1"/>
          <w14:textFill>
            <w14:solidFill>
              <w14:schemeClr w14:val="tx1"/>
            </w14:solidFill>
          </w14:textFill>
        </w:rPr>
        <w:t>采用轮询逻辑：</w:t>
      </w:r>
    </w:p>
    <w:p>
      <w:pP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微软雅黑"/>
          <w:color w:val="000000" w:themeColor="text1"/>
          <w14:textFill>
            <w14:solidFill>
              <w14:schemeClr w14:val="tx1"/>
            </w14:solidFill>
          </w14:textFill>
        </w:rPr>
        <w:pict>
          <v:shape id="_x0000_i1026" o:spt="75" type="#_x0000_t75" style="height:138.3pt;width:440.5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"/>
      </w:pPr>
      <w:r>
        <w:drawing>
          <wp:inline distT="0" distB="0" distL="114300" distR="114300">
            <wp:extent cx="4467225" cy="3800475"/>
            <wp:effectExtent l="0" t="0" r="952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07645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31085"/>
            <wp:effectExtent l="0" t="0" r="4445" b="1206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0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00C9"/>
    <w:rsid w:val="000F204E"/>
    <w:rsid w:val="000F2B0F"/>
    <w:rsid w:val="00122D8C"/>
    <w:rsid w:val="00163EDA"/>
    <w:rsid w:val="00170CC3"/>
    <w:rsid w:val="00186DBF"/>
    <w:rsid w:val="001960EE"/>
    <w:rsid w:val="001B208D"/>
    <w:rsid w:val="001D6483"/>
    <w:rsid w:val="001D7BC8"/>
    <w:rsid w:val="002048B0"/>
    <w:rsid w:val="00207579"/>
    <w:rsid w:val="00230337"/>
    <w:rsid w:val="00261E11"/>
    <w:rsid w:val="0026700F"/>
    <w:rsid w:val="002871C8"/>
    <w:rsid w:val="002A2629"/>
    <w:rsid w:val="00307EE8"/>
    <w:rsid w:val="0032098C"/>
    <w:rsid w:val="003221FE"/>
    <w:rsid w:val="003576EC"/>
    <w:rsid w:val="003648F8"/>
    <w:rsid w:val="003939DA"/>
    <w:rsid w:val="003A0E97"/>
    <w:rsid w:val="003B16E7"/>
    <w:rsid w:val="003B5524"/>
    <w:rsid w:val="003C42F5"/>
    <w:rsid w:val="003E70B3"/>
    <w:rsid w:val="004374BA"/>
    <w:rsid w:val="0047229F"/>
    <w:rsid w:val="004819E5"/>
    <w:rsid w:val="0049287B"/>
    <w:rsid w:val="004D3C94"/>
    <w:rsid w:val="004D5264"/>
    <w:rsid w:val="004F03C2"/>
    <w:rsid w:val="00503C8F"/>
    <w:rsid w:val="005102FC"/>
    <w:rsid w:val="00555C82"/>
    <w:rsid w:val="00573851"/>
    <w:rsid w:val="005769E7"/>
    <w:rsid w:val="0057767A"/>
    <w:rsid w:val="005831C1"/>
    <w:rsid w:val="005B5885"/>
    <w:rsid w:val="005B7BFA"/>
    <w:rsid w:val="0061314C"/>
    <w:rsid w:val="006318C2"/>
    <w:rsid w:val="0064486A"/>
    <w:rsid w:val="006478CB"/>
    <w:rsid w:val="00660F6B"/>
    <w:rsid w:val="0066508E"/>
    <w:rsid w:val="00683C86"/>
    <w:rsid w:val="006857C4"/>
    <w:rsid w:val="006A14A5"/>
    <w:rsid w:val="006C04B3"/>
    <w:rsid w:val="006C4053"/>
    <w:rsid w:val="006E28E1"/>
    <w:rsid w:val="006F55B6"/>
    <w:rsid w:val="007273A7"/>
    <w:rsid w:val="0072752F"/>
    <w:rsid w:val="007464F5"/>
    <w:rsid w:val="00764A1D"/>
    <w:rsid w:val="007F1C49"/>
    <w:rsid w:val="00867F4F"/>
    <w:rsid w:val="00872C83"/>
    <w:rsid w:val="0087770E"/>
    <w:rsid w:val="008A75E8"/>
    <w:rsid w:val="008D670A"/>
    <w:rsid w:val="008E5287"/>
    <w:rsid w:val="008E5BBE"/>
    <w:rsid w:val="008F1B01"/>
    <w:rsid w:val="0090488B"/>
    <w:rsid w:val="00913EC8"/>
    <w:rsid w:val="00921DB0"/>
    <w:rsid w:val="00944496"/>
    <w:rsid w:val="009608BE"/>
    <w:rsid w:val="00976D44"/>
    <w:rsid w:val="00980F3D"/>
    <w:rsid w:val="009F14D7"/>
    <w:rsid w:val="009F2112"/>
    <w:rsid w:val="00A124F6"/>
    <w:rsid w:val="00A5098B"/>
    <w:rsid w:val="00A511EA"/>
    <w:rsid w:val="00A51619"/>
    <w:rsid w:val="00A57F4A"/>
    <w:rsid w:val="00AF27E8"/>
    <w:rsid w:val="00AF7298"/>
    <w:rsid w:val="00B06538"/>
    <w:rsid w:val="00B57FEE"/>
    <w:rsid w:val="00B635BD"/>
    <w:rsid w:val="00B673D5"/>
    <w:rsid w:val="00B73066"/>
    <w:rsid w:val="00B92374"/>
    <w:rsid w:val="00BA137E"/>
    <w:rsid w:val="00BD1459"/>
    <w:rsid w:val="00BE2BC4"/>
    <w:rsid w:val="00BE3508"/>
    <w:rsid w:val="00BF0521"/>
    <w:rsid w:val="00BF24AB"/>
    <w:rsid w:val="00C13AEB"/>
    <w:rsid w:val="00C93082"/>
    <w:rsid w:val="00C9332F"/>
    <w:rsid w:val="00CA7C7E"/>
    <w:rsid w:val="00CC0321"/>
    <w:rsid w:val="00CC50DA"/>
    <w:rsid w:val="00CC5EA8"/>
    <w:rsid w:val="00CF6D64"/>
    <w:rsid w:val="00D1233D"/>
    <w:rsid w:val="00D57449"/>
    <w:rsid w:val="00D66EA9"/>
    <w:rsid w:val="00DB4EAE"/>
    <w:rsid w:val="00E920AE"/>
    <w:rsid w:val="00E94C2F"/>
    <w:rsid w:val="00E95B31"/>
    <w:rsid w:val="00EC55F2"/>
    <w:rsid w:val="00ED6780"/>
    <w:rsid w:val="00EF72B2"/>
    <w:rsid w:val="00F01D94"/>
    <w:rsid w:val="00F350E8"/>
    <w:rsid w:val="00F374EE"/>
    <w:rsid w:val="00F6177A"/>
    <w:rsid w:val="00F8000D"/>
    <w:rsid w:val="00F812B8"/>
    <w:rsid w:val="00FC1F3F"/>
    <w:rsid w:val="751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2520" w:leftChars="1200"/>
    </w:pPr>
  </w:style>
  <w:style w:type="paragraph" w:styleId="5">
    <w:name w:val="Document Map"/>
    <w:basedOn w:val="1"/>
    <w:link w:val="29"/>
    <w:semiHidden/>
    <w:unhideWhenUsed/>
    <w:uiPriority w:val="99"/>
    <w:rPr>
      <w:rFonts w:ascii="Heiti SC Light" w:eastAsia="Heiti SC Light"/>
      <w:sz w:val="24"/>
      <w:szCs w:val="24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uiPriority w:val="39"/>
    <w:pPr>
      <w:ind w:left="2940" w:leftChars="1400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3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semiHidden/>
    <w:unhideWhenUsed/>
    <w:uiPriority w:val="99"/>
  </w:style>
  <w:style w:type="character" w:styleId="23">
    <w:name w:val="Hyperlink"/>
    <w:basedOn w:val="20"/>
    <w:unhideWhenUsed/>
    <w:uiPriority w:val="99"/>
    <w:rPr>
      <w:color w:val="0000FF"/>
      <w:u w:val="single"/>
    </w:rPr>
  </w:style>
  <w:style w:type="character" w:customStyle="1" w:styleId="24">
    <w:name w:val="标题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批注框文本字符"/>
    <w:basedOn w:val="20"/>
    <w:link w:val="9"/>
    <w:semiHidden/>
    <w:qFormat/>
    <w:uiPriority w:val="99"/>
    <w:rPr>
      <w:sz w:val="18"/>
      <w:szCs w:val="18"/>
    </w:rPr>
  </w:style>
  <w:style w:type="character" w:customStyle="1" w:styleId="28">
    <w:name w:val="apple-converted-space"/>
    <w:basedOn w:val="20"/>
    <w:qFormat/>
    <w:uiPriority w:val="0"/>
  </w:style>
  <w:style w:type="character" w:customStyle="1" w:styleId="29">
    <w:name w:val="文档结构图 字符"/>
    <w:basedOn w:val="20"/>
    <w:link w:val="5"/>
    <w:semiHidden/>
    <w:uiPriority w:val="99"/>
    <w:rPr>
      <w:rFonts w:ascii="Heiti SC Light" w:eastAsia="Heiti SC Light"/>
      <w:sz w:val="24"/>
      <w:szCs w:val="24"/>
    </w:rPr>
  </w:style>
  <w:style w:type="character" w:customStyle="1" w:styleId="30">
    <w:name w:val="标题 2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HTML  预设格式字符"/>
    <w:basedOn w:val="20"/>
    <w:link w:val="16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32">
    <w:name w:val="页脚字符"/>
    <w:basedOn w:val="20"/>
    <w:link w:val="10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33951-A11B-EC41-9ADA-95E1E724E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13</Pages>
  <Words>888</Words>
  <Characters>5064</Characters>
  <Lines>42</Lines>
  <Paragraphs>11</Paragraphs>
  <TotalTime>704</TotalTime>
  <ScaleCrop>false</ScaleCrop>
  <LinksUpToDate>false</LinksUpToDate>
  <CharactersWithSpaces>5941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2014-08-11T02:06:00Z</dcterms:created>
  <dc:creator>锦龙</dc:creator>
  <cp:lastModifiedBy>Messing而立之年</cp:lastModifiedBy>
  <dcterms:modified xsi:type="dcterms:W3CDTF">2020-03-05T14:24:32Z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