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01E0C" w14:textId="77777777" w:rsidR="003E22AB" w:rsidRDefault="00000000">
      <w:pPr>
        <w:pStyle w:val="a3"/>
      </w:pPr>
      <w:r>
        <w:t>Week 7 小组项目进展报告</w:t>
      </w:r>
    </w:p>
    <w:p w14:paraId="3D9D62FD" w14:textId="77777777" w:rsidR="003E22AB" w:rsidRDefault="00000000">
      <w:pPr>
        <w:pStyle w:val="10"/>
      </w:pPr>
      <w:r>
        <w:t>不同光照方案下草莓果实花青素相关通路的三组学分析</w:t>
      </w:r>
    </w:p>
    <w:p w14:paraId="59EB5954" w14:textId="77777777" w:rsidR="003E22AB" w:rsidRDefault="00000000">
      <w:pPr>
        <w:pStyle w:val="10"/>
      </w:pPr>
      <w:r>
        <w:t>成员：曾梓轩、关标著、周涵毅、张智燊　更新日期：2026-10-11</w:t>
      </w:r>
    </w:p>
    <w:p w14:paraId="34CEC80E" w14:textId="77777777" w:rsidR="003E22AB" w:rsidRDefault="00000000">
      <w:pPr>
        <w:pStyle w:val="10"/>
      </w:pPr>
      <w:r>
        <w:t>本次更新：转录组质控、比对、计数与四组比较已完成；代谢组结果包已取得，蛋白组及跨组学整合尚未完成。当前结论为探索性表达关联，不是花青素积累或直接调控的验证。</w:t>
      </w:r>
    </w:p>
    <w:p w14:paraId="7BDD8112" w14:textId="77777777" w:rsidR="003E22AB" w:rsidRDefault="00000000">
      <w:pPr>
        <w:pStyle w:val="1"/>
      </w:pPr>
      <w:r>
        <w:t>1 研究问题与工作假设</w:t>
      </w:r>
    </w:p>
    <w:p w14:paraId="7BAD9462" w14:textId="77777777" w:rsidR="003E22AB" w:rsidRDefault="00000000">
      <w:pPr>
        <w:pStyle w:val="10"/>
      </w:pPr>
      <w:r>
        <w:t>研究问题：不同光照方案下，草莓果实花青素、黄酮和苯丙烷相关通路有哪些转录响应？独立实验的蛋白与代谢证据能否支持相同通路，并帮助筛选值得验证的候选基因？</w:t>
      </w:r>
    </w:p>
    <w:p w14:paraId="4D2275C0" w14:textId="77777777" w:rsidR="003E22AB" w:rsidRDefault="00000000">
      <w:pPr>
        <w:pStyle w:val="10"/>
      </w:pPr>
      <w:r>
        <w:t>工作假设：蓝光或红光暴露可能改变上述通路的表达，并在其他组学中体现部分一致的通路响应。不预设蓝光更强，也不预设转录、蛋白和代谢物必然同向。若通路响应或其他组学支持不足，应削弱或修订假设；具体假设及生物学解释仍待小组确认。</w:t>
      </w:r>
    </w:p>
    <w:p w14:paraId="3E0C3438" w14:textId="77777777" w:rsidR="003E22AB" w:rsidRDefault="00000000">
      <w:pPr>
        <w:pStyle w:val="1"/>
      </w:pPr>
      <w:r>
        <w:t>2 实验设计与数据收集</w:t>
      </w:r>
    </w:p>
    <w:p w14:paraId="753C30A4" w14:textId="77777777" w:rsidR="003E22AB" w:rsidRDefault="00000000">
      <w:pPr>
        <w:pStyle w:val="10"/>
      </w:pPr>
      <w:r>
        <w:t>转录组仅纳入果实 F，排除瘦果 S 和远红光 FR。D 为三天全黑；B、R 为两天黑暗后一天蓝光或红光；W 为三天白光。四组各 3 个生物学重复，共 12 个样本，R1/R2 是双端读段，不是独立重复。</w:t>
      </w:r>
    </w:p>
    <w:p w14:paraId="2122FDCA" w14:textId="77777777" w:rsidR="003E22AB" w:rsidRDefault="00000000">
      <w:pPr>
        <w:pStyle w:val="10"/>
      </w:pPr>
      <w:r>
        <w:t>原始数据共 26 个 FASTQ，约 78.45 GiB，迁移时 26/26 SHA256 一致。D-F-3 的两个 add 文件为独立补测块，已单独处理，但同文库关系未确认，未合并或当作第 13 个生物学重复。原始文件只读，旧服务器副本未删除。</w:t>
      </w:r>
    </w:p>
    <w:p w14:paraId="566EEBBF" w14:textId="77777777" w:rsidR="003E22AB" w:rsidRDefault="00000000">
      <w:pPr>
        <w:pStyle w:val="10"/>
      </w:pPr>
      <w:r>
        <w:t>代谢组两个结果 ZIP 已取得、检查并上传；B、D、FR、R、W 各有 6 个样本标签，独立重复及样本对应关系待核对。蛋白组仍待师兄提供。新增两组学据介绍为两天光照后一天黑暗，与转录组并非相同光照方案，不直接按编号配对。</w:t>
      </w:r>
    </w:p>
    <w:p w14:paraId="7856F585" w14:textId="77777777" w:rsidR="003E22AB" w:rsidRDefault="00000000">
      <w:pPr>
        <w:pStyle w:val="1"/>
      </w:pPr>
      <w:r>
        <w:t>3 已完成分析与初步结果</w:t>
      </w:r>
    </w:p>
    <w:p w14:paraId="3B15E82D" w14:textId="77777777" w:rsidR="003E22AB" w:rsidRDefault="00000000">
      <w:pPr>
        <w:pStyle w:val="10"/>
      </w:pPr>
      <w:r>
        <w:t>代理执行 fastp → HISAT2 → featureCounts；RSeQC 支持非链特异性计数。12 个样本使用 DESeq2（~group），edgeR 作方法敏感性核对。阈值为各比较内 BH 校正 padj &lt; 0.05 且 |log2FC| ≥ 1；正值表示前一组表达较高。保留 19,862 个测试基因。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4"/>
        <w:gridCol w:w="1984"/>
        <w:gridCol w:w="1984"/>
        <w:gridCol w:w="1984"/>
        <w:gridCol w:w="1984"/>
      </w:tblGrid>
      <w:tr w:rsidR="003E22AB" w14:paraId="5D96882B" w14:textId="77777777">
        <w:tblPrEx>
          <w:tblCellMar>
            <w:top w:w="0" w:type="dxa"/>
            <w:bottom w:w="0" w:type="dxa"/>
          </w:tblCellMar>
        </w:tblPrEx>
        <w:tc>
          <w:tcPr>
            <w:tcW w:w="1984" w:type="dxa"/>
            <w:shd w:val="clear" w:color="auto" w:fill="E8EEF4"/>
            <w:vAlign w:val="center"/>
          </w:tcPr>
          <w:p w14:paraId="5278DFBC" w14:textId="77777777" w:rsidR="003E22AB" w:rsidRDefault="00000000">
            <w:pPr>
              <w:spacing w:before="60" w:after="60"/>
              <w:jc w:val="center"/>
            </w:pPr>
            <w:r>
              <w:rPr>
                <w:b/>
              </w:rPr>
              <w:t>比较</w:t>
            </w:r>
          </w:p>
        </w:tc>
        <w:tc>
          <w:tcPr>
            <w:tcW w:w="1984" w:type="dxa"/>
            <w:shd w:val="clear" w:color="auto" w:fill="E8EEF4"/>
            <w:vAlign w:val="center"/>
          </w:tcPr>
          <w:p w14:paraId="022C23E4" w14:textId="77777777" w:rsidR="003E22AB" w:rsidRDefault="00000000">
            <w:pPr>
              <w:spacing w:before="60" w:after="60"/>
              <w:jc w:val="center"/>
            </w:pPr>
            <w:r>
              <w:rPr>
                <w:b/>
              </w:rPr>
              <w:t xml:space="preserve">DESeq2 </w:t>
            </w:r>
            <w:r>
              <w:rPr>
                <w:b/>
              </w:rPr>
              <w:t>显著</w:t>
            </w:r>
          </w:p>
        </w:tc>
        <w:tc>
          <w:tcPr>
            <w:tcW w:w="1984" w:type="dxa"/>
            <w:shd w:val="clear" w:color="auto" w:fill="E8EEF4"/>
            <w:vAlign w:val="center"/>
          </w:tcPr>
          <w:p w14:paraId="72698737" w14:textId="77777777" w:rsidR="003E22AB" w:rsidRDefault="00000000">
            <w:pPr>
              <w:spacing w:before="60" w:after="60"/>
              <w:jc w:val="center"/>
            </w:pPr>
            <w:r>
              <w:rPr>
                <w:b/>
              </w:rPr>
              <w:t>上调</w:t>
            </w:r>
          </w:p>
        </w:tc>
        <w:tc>
          <w:tcPr>
            <w:tcW w:w="1984" w:type="dxa"/>
            <w:shd w:val="clear" w:color="auto" w:fill="E8EEF4"/>
            <w:vAlign w:val="center"/>
          </w:tcPr>
          <w:p w14:paraId="55753B53" w14:textId="77777777" w:rsidR="003E22AB" w:rsidRDefault="00000000">
            <w:pPr>
              <w:spacing w:before="60" w:after="60"/>
              <w:jc w:val="center"/>
            </w:pPr>
            <w:r>
              <w:rPr>
                <w:b/>
              </w:rPr>
              <w:t>下调</w:t>
            </w:r>
          </w:p>
        </w:tc>
        <w:tc>
          <w:tcPr>
            <w:tcW w:w="1984" w:type="dxa"/>
            <w:shd w:val="clear" w:color="auto" w:fill="E8EEF4"/>
            <w:vAlign w:val="center"/>
          </w:tcPr>
          <w:p w14:paraId="0D71B0C1" w14:textId="77777777" w:rsidR="003E22AB" w:rsidRDefault="00000000">
            <w:pPr>
              <w:spacing w:before="60" w:after="60"/>
              <w:jc w:val="center"/>
            </w:pPr>
            <w:r>
              <w:rPr>
                <w:b/>
              </w:rPr>
              <w:t xml:space="preserve">edgeR </w:t>
            </w:r>
            <w:r>
              <w:rPr>
                <w:b/>
              </w:rPr>
              <w:t>显著</w:t>
            </w:r>
          </w:p>
        </w:tc>
      </w:tr>
      <w:tr w:rsidR="003E22AB" w14:paraId="7F3CCEEB" w14:textId="77777777">
        <w:tblPrEx>
          <w:tblCellMar>
            <w:top w:w="0" w:type="dxa"/>
            <w:bottom w:w="0" w:type="dxa"/>
          </w:tblCellMar>
        </w:tblPrEx>
        <w:tc>
          <w:tcPr>
            <w:tcW w:w="1984" w:type="dxa"/>
            <w:vAlign w:val="center"/>
          </w:tcPr>
          <w:p w14:paraId="72F2D254" w14:textId="77777777" w:rsidR="003E22AB" w:rsidRDefault="00000000">
            <w:pPr>
              <w:spacing w:before="60" w:after="60"/>
              <w:jc w:val="center"/>
            </w:pPr>
            <w:r>
              <w:t>B vs D</w:t>
            </w:r>
          </w:p>
        </w:tc>
        <w:tc>
          <w:tcPr>
            <w:tcW w:w="1984" w:type="dxa"/>
            <w:vAlign w:val="center"/>
          </w:tcPr>
          <w:p w14:paraId="687BD241" w14:textId="77777777" w:rsidR="003E22AB" w:rsidRDefault="00000000">
            <w:pPr>
              <w:spacing w:before="60" w:after="60"/>
              <w:jc w:val="center"/>
            </w:pPr>
            <w:r>
              <w:t>748</w:t>
            </w:r>
          </w:p>
        </w:tc>
        <w:tc>
          <w:tcPr>
            <w:tcW w:w="1984" w:type="dxa"/>
            <w:vAlign w:val="center"/>
          </w:tcPr>
          <w:p w14:paraId="713DFD9F" w14:textId="77777777" w:rsidR="003E22AB" w:rsidRDefault="00000000">
            <w:pPr>
              <w:spacing w:before="60" w:after="60"/>
              <w:jc w:val="center"/>
            </w:pPr>
            <w:r>
              <w:t>591</w:t>
            </w:r>
          </w:p>
        </w:tc>
        <w:tc>
          <w:tcPr>
            <w:tcW w:w="1984" w:type="dxa"/>
            <w:vAlign w:val="center"/>
          </w:tcPr>
          <w:p w14:paraId="7237C02F" w14:textId="77777777" w:rsidR="003E22AB" w:rsidRDefault="00000000">
            <w:pPr>
              <w:spacing w:before="60" w:after="60"/>
              <w:jc w:val="center"/>
            </w:pPr>
            <w:r>
              <w:t>157</w:t>
            </w:r>
          </w:p>
        </w:tc>
        <w:tc>
          <w:tcPr>
            <w:tcW w:w="1984" w:type="dxa"/>
            <w:vAlign w:val="center"/>
          </w:tcPr>
          <w:p w14:paraId="5FD4BBFD" w14:textId="77777777" w:rsidR="003E22AB" w:rsidRDefault="00000000">
            <w:pPr>
              <w:spacing w:before="60" w:after="60"/>
              <w:jc w:val="center"/>
            </w:pPr>
            <w:r>
              <w:t>374</w:t>
            </w:r>
          </w:p>
        </w:tc>
      </w:tr>
      <w:tr w:rsidR="003E22AB" w14:paraId="1B7865D0" w14:textId="77777777">
        <w:tblPrEx>
          <w:tblCellMar>
            <w:top w:w="0" w:type="dxa"/>
            <w:bottom w:w="0" w:type="dxa"/>
          </w:tblCellMar>
        </w:tblPrEx>
        <w:tc>
          <w:tcPr>
            <w:tcW w:w="1984" w:type="dxa"/>
            <w:vAlign w:val="center"/>
          </w:tcPr>
          <w:p w14:paraId="5ADB10CB" w14:textId="77777777" w:rsidR="003E22AB" w:rsidRDefault="00000000">
            <w:pPr>
              <w:spacing w:before="60" w:after="60"/>
              <w:jc w:val="center"/>
            </w:pPr>
            <w:r>
              <w:t>R vs D</w:t>
            </w:r>
          </w:p>
        </w:tc>
        <w:tc>
          <w:tcPr>
            <w:tcW w:w="1984" w:type="dxa"/>
            <w:vAlign w:val="center"/>
          </w:tcPr>
          <w:p w14:paraId="21202CAA" w14:textId="77777777" w:rsidR="003E22AB" w:rsidRDefault="00000000">
            <w:pPr>
              <w:spacing w:before="60" w:after="60"/>
              <w:jc w:val="center"/>
            </w:pPr>
            <w:r>
              <w:t>274</w:t>
            </w:r>
          </w:p>
        </w:tc>
        <w:tc>
          <w:tcPr>
            <w:tcW w:w="1984" w:type="dxa"/>
            <w:vAlign w:val="center"/>
          </w:tcPr>
          <w:p w14:paraId="6A5E4554" w14:textId="77777777" w:rsidR="003E22AB" w:rsidRDefault="00000000">
            <w:pPr>
              <w:spacing w:before="60" w:after="60"/>
              <w:jc w:val="center"/>
            </w:pPr>
            <w:r>
              <w:t>120</w:t>
            </w:r>
          </w:p>
        </w:tc>
        <w:tc>
          <w:tcPr>
            <w:tcW w:w="1984" w:type="dxa"/>
            <w:vAlign w:val="center"/>
          </w:tcPr>
          <w:p w14:paraId="3D96A3F9" w14:textId="77777777" w:rsidR="003E22AB" w:rsidRDefault="00000000">
            <w:pPr>
              <w:spacing w:before="60" w:after="60"/>
              <w:jc w:val="center"/>
            </w:pPr>
            <w:r>
              <w:t>154</w:t>
            </w:r>
          </w:p>
        </w:tc>
        <w:tc>
          <w:tcPr>
            <w:tcW w:w="1984" w:type="dxa"/>
            <w:vAlign w:val="center"/>
          </w:tcPr>
          <w:p w14:paraId="571D55FB" w14:textId="77777777" w:rsidR="003E22AB" w:rsidRDefault="00000000">
            <w:pPr>
              <w:spacing w:before="60" w:after="60"/>
              <w:jc w:val="center"/>
            </w:pPr>
            <w:r>
              <w:t>36</w:t>
            </w:r>
          </w:p>
        </w:tc>
      </w:tr>
      <w:tr w:rsidR="003E22AB" w14:paraId="1F6CED75" w14:textId="77777777">
        <w:tblPrEx>
          <w:tblCellMar>
            <w:top w:w="0" w:type="dxa"/>
            <w:bottom w:w="0" w:type="dxa"/>
          </w:tblCellMar>
        </w:tblPrEx>
        <w:tc>
          <w:tcPr>
            <w:tcW w:w="1984" w:type="dxa"/>
            <w:vAlign w:val="center"/>
          </w:tcPr>
          <w:p w14:paraId="74E6980D" w14:textId="77777777" w:rsidR="003E22AB" w:rsidRDefault="00000000">
            <w:pPr>
              <w:spacing w:before="60" w:after="60"/>
              <w:jc w:val="center"/>
            </w:pPr>
            <w:r>
              <w:t>B vs W</w:t>
            </w:r>
          </w:p>
        </w:tc>
        <w:tc>
          <w:tcPr>
            <w:tcW w:w="1984" w:type="dxa"/>
            <w:vAlign w:val="center"/>
          </w:tcPr>
          <w:p w14:paraId="4D643377" w14:textId="77777777" w:rsidR="003E22AB" w:rsidRDefault="00000000">
            <w:pPr>
              <w:spacing w:before="60" w:after="60"/>
              <w:jc w:val="center"/>
            </w:pPr>
            <w:r>
              <w:t>8</w:t>
            </w:r>
          </w:p>
        </w:tc>
        <w:tc>
          <w:tcPr>
            <w:tcW w:w="1984" w:type="dxa"/>
            <w:vAlign w:val="center"/>
          </w:tcPr>
          <w:p w14:paraId="1817491B" w14:textId="77777777" w:rsidR="003E22AB" w:rsidRDefault="00000000">
            <w:pPr>
              <w:spacing w:before="60" w:after="60"/>
              <w:jc w:val="center"/>
            </w:pPr>
            <w:r>
              <w:t>6</w:t>
            </w:r>
          </w:p>
        </w:tc>
        <w:tc>
          <w:tcPr>
            <w:tcW w:w="1984" w:type="dxa"/>
            <w:vAlign w:val="center"/>
          </w:tcPr>
          <w:p w14:paraId="505C415D" w14:textId="77777777" w:rsidR="003E22AB" w:rsidRDefault="00000000">
            <w:pPr>
              <w:spacing w:before="60" w:after="60"/>
              <w:jc w:val="center"/>
            </w:pPr>
            <w:r>
              <w:t>2</w:t>
            </w:r>
          </w:p>
        </w:tc>
        <w:tc>
          <w:tcPr>
            <w:tcW w:w="1984" w:type="dxa"/>
            <w:vAlign w:val="center"/>
          </w:tcPr>
          <w:p w14:paraId="7E445B3B" w14:textId="77777777" w:rsidR="003E22AB" w:rsidRDefault="00000000">
            <w:pPr>
              <w:spacing w:before="60" w:after="60"/>
              <w:jc w:val="center"/>
            </w:pPr>
            <w:r>
              <w:t>0</w:t>
            </w:r>
          </w:p>
        </w:tc>
      </w:tr>
      <w:tr w:rsidR="003E22AB" w14:paraId="40B5D208" w14:textId="77777777">
        <w:tblPrEx>
          <w:tblCellMar>
            <w:top w:w="0" w:type="dxa"/>
            <w:bottom w:w="0" w:type="dxa"/>
          </w:tblCellMar>
        </w:tblPrEx>
        <w:tc>
          <w:tcPr>
            <w:tcW w:w="1984" w:type="dxa"/>
            <w:vAlign w:val="center"/>
          </w:tcPr>
          <w:p w14:paraId="30DE6145" w14:textId="77777777" w:rsidR="003E22AB" w:rsidRDefault="00000000">
            <w:pPr>
              <w:spacing w:before="60" w:after="60"/>
              <w:jc w:val="center"/>
            </w:pPr>
            <w:r>
              <w:t>R vs W</w:t>
            </w:r>
          </w:p>
        </w:tc>
        <w:tc>
          <w:tcPr>
            <w:tcW w:w="1984" w:type="dxa"/>
            <w:vAlign w:val="center"/>
          </w:tcPr>
          <w:p w14:paraId="5E465DA5" w14:textId="77777777" w:rsidR="003E22AB" w:rsidRDefault="00000000">
            <w:pPr>
              <w:spacing w:before="60" w:after="60"/>
              <w:jc w:val="center"/>
            </w:pPr>
            <w:r>
              <w:t>214</w:t>
            </w:r>
          </w:p>
        </w:tc>
        <w:tc>
          <w:tcPr>
            <w:tcW w:w="1984" w:type="dxa"/>
            <w:vAlign w:val="center"/>
          </w:tcPr>
          <w:p w14:paraId="4C836B04" w14:textId="77777777" w:rsidR="003E22AB" w:rsidRDefault="00000000">
            <w:pPr>
              <w:spacing w:before="60" w:after="60"/>
              <w:jc w:val="center"/>
            </w:pPr>
            <w:r>
              <w:t>40</w:t>
            </w:r>
          </w:p>
        </w:tc>
        <w:tc>
          <w:tcPr>
            <w:tcW w:w="1984" w:type="dxa"/>
            <w:vAlign w:val="center"/>
          </w:tcPr>
          <w:p w14:paraId="68AD5DC1" w14:textId="77777777" w:rsidR="003E22AB" w:rsidRDefault="00000000">
            <w:pPr>
              <w:spacing w:before="60" w:after="60"/>
              <w:jc w:val="center"/>
            </w:pPr>
            <w:r>
              <w:t>174</w:t>
            </w:r>
          </w:p>
        </w:tc>
        <w:tc>
          <w:tcPr>
            <w:tcW w:w="1984" w:type="dxa"/>
            <w:vAlign w:val="center"/>
          </w:tcPr>
          <w:p w14:paraId="5DF2A521" w14:textId="77777777" w:rsidR="003E22AB" w:rsidRDefault="00000000">
            <w:pPr>
              <w:spacing w:before="60" w:after="60"/>
              <w:jc w:val="center"/>
            </w:pPr>
            <w:r>
              <w:t>8</w:t>
            </w:r>
          </w:p>
        </w:tc>
      </w:tr>
    </w:tbl>
    <w:p w14:paraId="1A475E17" w14:textId="77777777" w:rsidR="003E22AB" w:rsidRDefault="00000000">
      <w:pPr>
        <w:pStyle w:val="10"/>
      </w:pPr>
      <w:r>
        <w:t>13 个处理块比对率 98.66%–99.21%，计数分配率 87.02%–88.10%；BAM、索引和计数一致性核对通过。主任务 3942、最终审计 3945 均成功；代码、环境、日志、失败重试及中间文件保留。</w:t>
      </w:r>
    </w:p>
    <w:p w14:paraId="3EF16263" w14:textId="77777777" w:rsidR="003E22AB" w:rsidRDefault="00000000">
      <w:pPr>
        <w:pStyle w:val="1"/>
        <w:pageBreakBefore/>
      </w:pPr>
      <w:r>
        <w:lastRenderedPageBreak/>
        <w:t>4 结果限制与样本核对</w:t>
      </w:r>
    </w:p>
    <w:p w14:paraId="4D583520" w14:textId="77777777" w:rsidR="003E22AB" w:rsidRDefault="00000000">
      <w:pPr>
        <w:pStyle w:val="10"/>
      </w:pPr>
      <w:r>
        <w:t>PCA 的 PC1 为 60.6%、PC2 为 20.9%（VST 后高变 500 基因）。B-F-3、W-F-1、R-F-2 与同组其他样本存在差异；所有 12 个样本仍保留，不能凭图删样本或断言标签错误。DESeq2 与 edgeR 的显著数不同，特别是 R/D、R/W，候选必须报告方法敏感性。B/W 未获得 edgeR 支持不等于没有生物学差异。</w:t>
      </w:r>
    </w:p>
    <w:p w14:paraId="4BFAD934" w14:textId="77777777" w:rsidR="003E22AB" w:rsidRDefault="00000000">
      <w:pPr>
        <w:pStyle w:val="10"/>
      </w:pPr>
      <w:r>
        <w:t>D 全为 L1，其余全为 L2，含两者的设计矩阵非满秩；L1/L2 的实际含义待确认，若代表批次则无法独立估计 D 的处理效应。B/R 与 W 的比较同时混合光谱和光照时长。目前没有花青素定量或颜色测量，不能把差异表达写成色素积累已经证明。</w:t>
      </w:r>
    </w:p>
    <w:p w14:paraId="716B6BCA" w14:textId="77777777" w:rsidR="003E22AB" w:rsidRDefault="00000000">
      <w:pPr>
        <w:pStyle w:val="10"/>
      </w:pPr>
      <w:r>
        <w:t>参考 a2 注释有一个重复 ID 对应不同位置，衍生 GTF 整体排除 FvH4_5g37881；另有 11 个 CDS 与参考拼接序列不一致的基因标记保留，未擅自修复。B/D、R/D 的显著集合各含 1 个标记基因，需核对后再评估功能。</w:t>
      </w:r>
    </w:p>
    <w:p w14:paraId="411324A9" w14:textId="77777777" w:rsidR="003E22AB" w:rsidRDefault="00000000">
      <w:pPr>
        <w:pStyle w:val="10"/>
      </w:pPr>
      <w:r>
        <w:t>已保留向师兄核对的六类问题：处理与采样时点；重复来源及配对关系；L1/L2 含义；D-F-3_add 是否同文库补测；样本表及异常样本记录；三组学样本对应和具体光照顺序。尚未取得答复，不补写未知元数据。</w:t>
      </w:r>
    </w:p>
    <w:p w14:paraId="1672400A" w14:textId="77777777" w:rsidR="003E22AB" w:rsidRDefault="00000000">
      <w:pPr>
        <w:pStyle w:val="1"/>
      </w:pPr>
      <w:r>
        <w:t>5 文献与后续分析策略</w:t>
      </w:r>
    </w:p>
    <w:p w14:paraId="380F6E8A" w14:textId="77777777" w:rsidR="003E22AB" w:rsidRDefault="00000000">
      <w:pPr>
        <w:pStyle w:val="10"/>
      </w:pPr>
      <w:r>
        <w:t>延续前版文献线索：Chen 等（2020，J. Agric. Food Chem.，DOI 10.1021/acs.jafc.0c05020）可借鉴蓝红光的转录组与代谢通路对照；Chen 等（2024，Plants，DOI 10.3390/plants13081070）可借鉴黄酮和花青素的联合分析。研究条件不同，不直接套用结论；组员全文阅读及个人判断仍待记录。</w:t>
      </w:r>
    </w:p>
    <w:p w14:paraId="431072BC" w14:textId="77777777" w:rsidR="003E22AB" w:rsidRDefault="00000000">
      <w:pPr>
        <w:pStyle w:val="10"/>
      </w:pPr>
      <w:r>
        <w:t>转录组下一步：补齐样本信息和 GO、KEGG、TF 功能映射，记录 ID 匹配率；以实际测试且成功映射的基因作富集背景，分别分析上、下调集合并多重校正。结合效应量、重复一致性、方法稳定性、注释及文献筛选候选，不提前指定“特异性基因”。仅 12 个样本，WGCNA 暂不列为必做项。</w:t>
      </w:r>
    </w:p>
    <w:p w14:paraId="690E5E87" w14:textId="77777777" w:rsidR="003E22AB" w:rsidRDefault="00000000">
      <w:pPr>
        <w:pStyle w:val="10"/>
      </w:pPr>
      <w:r>
        <w:t>代谢组与蛋白组先各自核对 QC、缺失值、归一化、批次及鉴定可信度，再开展差异和通路分析。跨组学首先做独立实验的通路证据对照；未经确认的样本不做逐样本相关性，不能用批次校正消除处理方案差异。代谢相对丰度不写成绝对含量。最终候选需独立 qPCR、靶向代谢检测或功能实验验证，均未完成。</w:t>
      </w:r>
    </w:p>
    <w:p w14:paraId="674D3EC7" w14:textId="77777777" w:rsidR="003E22AB" w:rsidRDefault="00000000">
      <w:pPr>
        <w:pStyle w:val="1"/>
      </w:pPr>
      <w:r>
        <w:t>6 分工与可复现记录</w:t>
      </w:r>
    </w:p>
    <w:p w14:paraId="196E3B0D" w14:textId="1A694801" w:rsidR="003E22AB" w:rsidRDefault="00000000">
      <w:pPr>
        <w:pStyle w:val="10"/>
      </w:pPr>
      <w:r>
        <w:t>曾梓轩负责联系师兄、数据准备与元数据核对、跨组学整合、候选深度分析和主笔报告。周涵毅已选择 A 转录组，重点复核当前结果并完成通路解释；张智燊B 蛋白</w:t>
      </w:r>
      <w:proofErr w:type="gramStart"/>
      <w:r>
        <w:t>组</w:t>
      </w:r>
      <w:r w:rsidR="00FC4146">
        <w:rPr>
          <w:rFonts w:hint="eastAsia"/>
        </w:rPr>
        <w:t>,</w:t>
      </w:r>
      <w:proofErr w:type="gramEnd"/>
      <w:r w:rsidR="00FC4146">
        <w:t>关标著</w:t>
      </w:r>
      <w:r>
        <w:t xml:space="preserve"> C 代谢组。本次代理完成基础转录组计算，不替代组员阅读、解释和验证。</w:t>
      </w:r>
    </w:p>
    <w:p w14:paraId="34DC24A2" w14:textId="5CB391FA" w:rsidR="003E22AB" w:rsidRDefault="00000000">
      <w:pPr>
        <w:pStyle w:val="10"/>
      </w:pPr>
      <w:r>
        <w:t>AI 与证据：AI 协助方案、代码执行和本报告组织；实验设计信息由学生提供，服务器核验由代理执行。实际提示词原文、代码快照、参数、Conda 导出、R sessionInfo、stdout/stderr、失败日志和 SHA256 清单均留档。DESeq2 1.50.2、edgeR 4.10.5。</w:t>
      </w:r>
    </w:p>
    <w:sectPr w:rsidR="003E22AB">
      <w:footerReference w:type="default" r:id="rId7"/>
      <w:pgSz w:w="11906" w:h="16838"/>
      <w:pgMar w:top="950" w:right="900" w:bottom="95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F9F280" w14:textId="77777777" w:rsidR="003D73C8" w:rsidRDefault="003D73C8">
      <w:r>
        <w:separator/>
      </w:r>
    </w:p>
  </w:endnote>
  <w:endnote w:type="continuationSeparator" w:id="0">
    <w:p w14:paraId="01A1B0AA" w14:textId="77777777" w:rsidR="003D73C8" w:rsidRDefault="003D73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751E1" w14:textId="77777777" w:rsidR="003E22AB" w:rsidRDefault="00000000">
    <w:pPr>
      <w:jc w:val="center"/>
    </w:pPr>
    <w:r>
      <w:rPr>
        <w:rFonts w:eastAsia="微软雅黑"/>
        <w:color w:val="666666"/>
        <w:sz w:val="17"/>
        <w:szCs w:val="17"/>
      </w:rPr>
      <w:t xml:space="preserve">Week 7 项目进展 · 2026-10-11  |  </w:t>
    </w:r>
    <w:r>
      <w:rPr>
        <w:sz w:val="17"/>
        <w:szCs w:val="17"/>
      </w:rPr>
      <w:fldChar w:fldCharType="begin"/>
    </w:r>
    <w:r>
      <w:rPr>
        <w:sz w:val="17"/>
        <w:szCs w:val="17"/>
      </w:rPr>
      <w:instrText>PAGE</w:instrText>
    </w:r>
    <w:r>
      <w:rPr>
        <w:sz w:val="17"/>
        <w:szCs w:val="17"/>
      </w:rPr>
      <w:fldChar w:fldCharType="separate"/>
    </w:r>
    <w:r w:rsidR="00FC4146">
      <w:rPr>
        <w:rFonts w:hint="eastAsia"/>
        <w:noProof/>
        <w:sz w:val="17"/>
        <w:szCs w:val="17"/>
      </w:rPr>
      <w:t>1</w:t>
    </w:r>
    <w:r>
      <w:rPr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1DF373" w14:textId="77777777" w:rsidR="003D73C8" w:rsidRDefault="003D73C8">
      <w:r>
        <w:separator/>
      </w:r>
    </w:p>
  </w:footnote>
  <w:footnote w:type="continuationSeparator" w:id="0">
    <w:p w14:paraId="521B991C" w14:textId="77777777" w:rsidR="003D73C8" w:rsidRDefault="003D73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BE49D7"/>
    <w:multiLevelType w:val="hybridMultilevel"/>
    <w:tmpl w:val="93B6183A"/>
    <w:lvl w:ilvl="0" w:tplc="AEF0A0A2">
      <w:start w:val="1"/>
      <w:numFmt w:val="bullet"/>
      <w:lvlText w:val="●"/>
      <w:lvlJc w:val="left"/>
      <w:pPr>
        <w:ind w:left="720" w:hanging="360"/>
      </w:pPr>
    </w:lvl>
    <w:lvl w:ilvl="1" w:tplc="13CE42D2">
      <w:start w:val="1"/>
      <w:numFmt w:val="bullet"/>
      <w:lvlText w:val="○"/>
      <w:lvlJc w:val="left"/>
      <w:pPr>
        <w:ind w:left="1440" w:hanging="360"/>
      </w:pPr>
    </w:lvl>
    <w:lvl w:ilvl="2" w:tplc="D49E2D7E">
      <w:start w:val="1"/>
      <w:numFmt w:val="bullet"/>
      <w:lvlText w:val="■"/>
      <w:lvlJc w:val="left"/>
      <w:pPr>
        <w:ind w:left="2160" w:hanging="360"/>
      </w:pPr>
    </w:lvl>
    <w:lvl w:ilvl="3" w:tplc="C1B61424">
      <w:start w:val="1"/>
      <w:numFmt w:val="bullet"/>
      <w:lvlText w:val="●"/>
      <w:lvlJc w:val="left"/>
      <w:pPr>
        <w:ind w:left="2880" w:hanging="360"/>
      </w:pPr>
    </w:lvl>
    <w:lvl w:ilvl="4" w:tplc="0D247BF6">
      <w:start w:val="1"/>
      <w:numFmt w:val="bullet"/>
      <w:lvlText w:val="○"/>
      <w:lvlJc w:val="left"/>
      <w:pPr>
        <w:ind w:left="3600" w:hanging="360"/>
      </w:pPr>
    </w:lvl>
    <w:lvl w:ilvl="5" w:tplc="13FABB20">
      <w:start w:val="1"/>
      <w:numFmt w:val="bullet"/>
      <w:lvlText w:val="■"/>
      <w:lvlJc w:val="left"/>
      <w:pPr>
        <w:ind w:left="4320" w:hanging="360"/>
      </w:pPr>
    </w:lvl>
    <w:lvl w:ilvl="6" w:tplc="6762A8DA">
      <w:start w:val="1"/>
      <w:numFmt w:val="bullet"/>
      <w:lvlText w:val="●"/>
      <w:lvlJc w:val="left"/>
      <w:pPr>
        <w:ind w:left="5040" w:hanging="360"/>
      </w:pPr>
    </w:lvl>
    <w:lvl w:ilvl="7" w:tplc="3CC47A9E">
      <w:start w:val="1"/>
      <w:numFmt w:val="bullet"/>
      <w:lvlText w:val="●"/>
      <w:lvlJc w:val="left"/>
      <w:pPr>
        <w:ind w:left="5760" w:hanging="360"/>
      </w:pPr>
    </w:lvl>
    <w:lvl w:ilvl="8" w:tplc="8C868154">
      <w:start w:val="1"/>
      <w:numFmt w:val="bullet"/>
      <w:lvlText w:val="●"/>
      <w:lvlJc w:val="left"/>
      <w:pPr>
        <w:ind w:left="6480" w:hanging="360"/>
      </w:pPr>
    </w:lvl>
  </w:abstractNum>
  <w:num w:numId="1" w16cid:durableId="15650660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22AB"/>
    <w:rsid w:val="0007005F"/>
    <w:rsid w:val="000F6D60"/>
    <w:rsid w:val="003D73C8"/>
    <w:rsid w:val="003E22AB"/>
    <w:rsid w:val="00FC4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A3D8F5"/>
  <w15:docId w15:val="{35EFF29B-E2C9-4352-B8B0-8C5CF6C0D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Theme="minorEastAsia" w:hAnsi="微软雅黑" w:cs="微软雅黑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10"/>
    <w:next w:val="10"/>
    <w:uiPriority w:val="9"/>
    <w:qFormat/>
    <w:pPr>
      <w:keepNext/>
      <w:outlineLvl w:val="0"/>
    </w:pPr>
    <w:rPr>
      <w:b/>
      <w:bCs/>
      <w:color w:val="17365D"/>
      <w:sz w:val="25"/>
      <w:szCs w:val="25"/>
    </w:rPr>
  </w:style>
  <w:style w:type="paragraph" w:styleId="2">
    <w:name w:val="heading 2"/>
    <w:basedOn w:val="10"/>
    <w:next w:val="10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10"/>
    <w:next w:val="10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10"/>
    <w:next w:val="10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10"/>
    <w:next w:val="10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10"/>
    <w:next w:val="10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10"/>
    <w:next w:val="10"/>
    <w:uiPriority w:val="10"/>
    <w:qFormat/>
    <w:rPr>
      <w:b/>
      <w:bCs/>
      <w:color w:val="17365D"/>
      <w:sz w:val="32"/>
      <w:szCs w:val="32"/>
    </w:rPr>
  </w:style>
  <w:style w:type="paragraph" w:customStyle="1" w:styleId="11">
    <w:name w:val="要点1"/>
    <w:basedOn w:val="10"/>
    <w:next w:val="10"/>
    <w:qFormat/>
    <w:rPr>
      <w:b/>
      <w:bCs/>
    </w:rPr>
  </w:style>
  <w:style w:type="paragraph" w:styleId="a4">
    <w:name w:val="List Paragraph"/>
    <w:basedOn w:val="10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10"/>
    <w:link w:val="a8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10"/>
    <w:link w:val="ab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customStyle="1" w:styleId="10">
    <w:name w:val="正文1"/>
    <w:pPr>
      <w:spacing w:after="80" w:line="276" w:lineRule="auto"/>
    </w:pPr>
    <w:rPr>
      <w:rFonts w:eastAsia="微软雅黑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1072</Words>
  <Characters>1310</Characters>
  <Application>Microsoft Office Word</Application>
  <DocSecurity>0</DocSecurity>
  <Lines>48</Lines>
  <Paragraphs>54</Paragraphs>
  <ScaleCrop>false</ScaleCrop>
  <Company/>
  <LinksUpToDate>false</LinksUpToDate>
  <CharactersWithSpaces>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Week7_光照转录组代谢组_进展报告_精简版</dc:title>
  <dc:creator>Zixuan Zeng</dc:creator>
  <cp:lastModifiedBy>智燊 张</cp:lastModifiedBy>
  <cp:revision>3</cp:revision>
  <dcterms:created xsi:type="dcterms:W3CDTF">2026-10-11T10:39:00Z</dcterms:created>
  <dcterms:modified xsi:type="dcterms:W3CDTF">2026-10-11T10:39:00Z</dcterms:modified>
</cp:coreProperties>
</file>