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A2ECA">
      <w:pPr>
        <w:jc w:val="center"/>
        <w:rPr>
          <w:rFonts w:hint="eastAsia" w:eastAsia="华文行楷"/>
          <w:b/>
          <w:bCs/>
          <w:sz w:val="52"/>
        </w:rPr>
      </w:pPr>
    </w:p>
    <w:p w14:paraId="03ACA2EE">
      <w:pPr>
        <w:jc w:val="center"/>
        <w:rPr>
          <w:rFonts w:hint="eastAsia" w:eastAsia="华文行楷"/>
          <w:b/>
          <w:bCs/>
          <w:sz w:val="52"/>
        </w:rPr>
      </w:pPr>
      <w:r>
        <w:rPr>
          <w:rFonts w:hint="eastAsia" w:eastAsia="华文行楷"/>
          <w:b/>
          <w:bCs/>
          <w:sz w:val="52"/>
        </w:rPr>
        <w:t>中国科学技术大学软件学院</w:t>
      </w:r>
    </w:p>
    <w:p w14:paraId="338626AC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软件工程实验项目环节</w:t>
      </w:r>
    </w:p>
    <w:p w14:paraId="5F4F1AA9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开题报告</w:t>
      </w:r>
    </w:p>
    <w:p w14:paraId="51F9877C">
      <w:pPr>
        <w:jc w:val="center"/>
        <w:rPr>
          <w:rFonts w:hint="eastAsia"/>
          <w:b/>
          <w:bCs/>
          <w:sz w:val="52"/>
        </w:rPr>
      </w:pPr>
    </w:p>
    <w:p w14:paraId="32C71DC0">
      <w:pPr>
        <w:ind w:firstLine="1561" w:firstLineChars="299"/>
        <w:rPr>
          <w:rFonts w:hint="eastAsia"/>
          <w:b/>
          <w:bCs/>
          <w:sz w:val="52"/>
          <w:u w:val="single"/>
        </w:rPr>
      </w:pPr>
    </w:p>
    <w:p w14:paraId="787B357C">
      <w:pPr>
        <w:spacing w:line="480" w:lineRule="auto"/>
        <w:ind w:left="4300" w:hanging="2520"/>
        <w:rPr>
          <w:rFonts w:hint="eastAsia" w:eastAsia="宋体"/>
          <w:b/>
          <w:bCs/>
          <w:sz w:val="36"/>
          <w:u w:val="single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36"/>
        </w:rPr>
        <w:t>项 目 名 称：</w:t>
      </w:r>
      <w:r>
        <w:rPr>
          <w:rFonts w:hint="eastAsia"/>
          <w:b/>
          <w:bCs/>
          <w:sz w:val="36"/>
          <w:u w:val="single"/>
        </w:rPr>
        <w:t xml:space="preserve"> 基于多智能体协同的科研文献智能综述生成系统</w:t>
      </w:r>
      <w:r>
        <w:rPr>
          <w:rFonts w:hint="eastAsia"/>
          <w:b/>
          <w:bCs/>
          <w:sz w:val="36"/>
          <w:u w:val="single"/>
          <w:lang w:val="en-US" w:eastAsia="zh-CN"/>
        </w:rPr>
        <w:t xml:space="preserve"> </w:t>
      </w:r>
    </w:p>
    <w:p w14:paraId="5C458F8D">
      <w:pPr>
        <w:spacing w:line="480" w:lineRule="auto"/>
        <w:ind w:firstLine="1789" w:firstLineChars="495"/>
        <w:rPr>
          <w:rFonts w:hint="default" w:eastAsia="宋体"/>
          <w:b/>
          <w:bCs/>
          <w:sz w:val="36"/>
          <w:lang w:val="en-US" w:eastAsia="zh-CN"/>
        </w:rPr>
      </w:pPr>
      <w:r>
        <w:rPr>
          <w:rFonts w:hint="eastAsia"/>
          <w:b/>
          <w:bCs/>
          <w:sz w:val="36"/>
        </w:rPr>
        <w:t>成 员 名 单：</w:t>
      </w:r>
      <w:r>
        <w:rPr>
          <w:rFonts w:hint="eastAsia"/>
          <w:b/>
          <w:bCs/>
          <w:sz w:val="36"/>
          <w:u w:val="single"/>
        </w:rPr>
        <w:t xml:space="preserve">        </w:t>
      </w:r>
      <w:r>
        <w:rPr>
          <w:rFonts w:hint="eastAsia"/>
          <w:b/>
          <w:bCs/>
          <w:sz w:val="36"/>
          <w:u w:val="single"/>
          <w:lang w:val="en-US" w:eastAsia="zh-CN"/>
        </w:rPr>
        <w:t xml:space="preserve">    </w:t>
      </w:r>
    </w:p>
    <w:p w14:paraId="36ED82CA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导       师：</w:t>
      </w:r>
      <w:r>
        <w:rPr>
          <w:rFonts w:hint="eastAsia"/>
          <w:b/>
          <w:bCs/>
          <w:sz w:val="36"/>
          <w:u w:val="single"/>
        </w:rPr>
        <w:t xml:space="preserve">    </w:t>
      </w:r>
      <w:r>
        <w:rPr>
          <w:rFonts w:hint="eastAsia"/>
          <w:b/>
          <w:bCs/>
          <w:sz w:val="36"/>
          <w:u w:val="single"/>
          <w:lang w:val="en-US" w:eastAsia="zh-CN"/>
        </w:rPr>
        <w:t>丁箐</w:t>
      </w:r>
      <w:r>
        <w:rPr>
          <w:rFonts w:hint="eastAsia"/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  <w:u w:val="single"/>
        </w:rPr>
        <w:tab/>
      </w:r>
      <w:r>
        <w:rPr>
          <w:rFonts w:hint="eastAsia"/>
          <w:b/>
          <w:bCs/>
          <w:sz w:val="36"/>
          <w:u w:val="single"/>
        </w:rPr>
        <w:t xml:space="preserve">  </w:t>
      </w:r>
    </w:p>
    <w:p w14:paraId="4E28BB99">
      <w:pPr>
        <w:spacing w:line="480" w:lineRule="auto"/>
        <w:ind w:firstLine="1789" w:firstLineChars="495"/>
        <w:rPr>
          <w:b/>
          <w:bCs/>
          <w:sz w:val="36"/>
          <w:u w:val="single"/>
        </w:rPr>
      </w:pPr>
      <w:r>
        <w:rPr>
          <w:rFonts w:hint="eastAsia" w:ascii="Times New Roman" w:hAnsi="Times New Roman" w:eastAsia="宋体"/>
          <w:b/>
          <w:bCs/>
          <w:sz w:val="36"/>
        </w:rPr>
        <w:t>工 程 领 域：</w:t>
      </w:r>
      <w:r>
        <w:rPr>
          <w:rFonts w:ascii="Times New Roman" w:hAnsi="Times New Roman" w:eastAsia="宋体"/>
          <w:b/>
          <w:sz w:val="36"/>
        </w:rPr>
        <w:t xml:space="preserve"> 软件工程</w:t>
      </w:r>
    </w:p>
    <w:p w14:paraId="782E337D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 w:ascii="Times New Roman" w:hAnsi="Times New Roman" w:eastAsia="宋体"/>
          <w:b/>
          <w:bCs/>
          <w:sz w:val="36"/>
        </w:rPr>
        <w:t>研 究 方 向：</w:t>
      </w:r>
      <w:r>
        <w:rPr>
          <w:rFonts w:ascii="Times New Roman" w:hAnsi="Times New Roman" w:eastAsia="宋体"/>
          <w:b/>
          <w:sz w:val="36"/>
        </w:rPr>
        <w:t xml:space="preserve"> 多智能体系统</w:t>
      </w:r>
    </w:p>
    <w:p w14:paraId="1706C2CF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 w:ascii="Times New Roman" w:hAnsi="Times New Roman" w:eastAsia="宋体"/>
          <w:b/>
          <w:bCs/>
          <w:sz w:val="36"/>
        </w:rPr>
        <w:t>开 题 时 间：</w:t>
      </w:r>
      <w:r>
        <w:rPr>
          <w:rFonts w:ascii="Times New Roman" w:hAnsi="Times New Roman" w:eastAsia="宋体"/>
          <w:b/>
          <w:sz w:val="36"/>
        </w:rPr>
        <w:t xml:space="preserve"> 2026 年 10 月</w:t>
      </w:r>
    </w:p>
    <w:p w14:paraId="1A4A1D2F">
      <w:pPr>
        <w:spacing w:line="480" w:lineRule="auto"/>
        <w:ind w:firstLine="1789" w:firstLineChars="495"/>
        <w:rPr>
          <w:rFonts w:hint="default" w:eastAsia="宋体"/>
          <w:b/>
          <w:bCs/>
          <w:sz w:val="36"/>
          <w:u w:val="single"/>
          <w:lang w:val="en-US" w:eastAsia="zh-CN"/>
        </w:rPr>
      </w:pPr>
    </w:p>
    <w:p w14:paraId="334A3640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</w:p>
    <w:p w14:paraId="6A6A8FF6">
      <w:pPr>
        <w:spacing w:before="468" w:beforeLines="150"/>
        <w:jc w:val="center"/>
        <w:rPr>
          <w:rFonts w:hint="eastAsia"/>
          <w:b/>
          <w:bCs/>
          <w:sz w:val="36"/>
          <w:u w:val="single"/>
        </w:rPr>
      </w:pPr>
    </w:p>
    <w:p w14:paraId="568888B2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中国科学技术大学软件学院</w:t>
      </w:r>
    </w:p>
    <w:p w14:paraId="5F366250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 xml:space="preserve">填表日期：   </w:t>
      </w:r>
      <w:r>
        <w:rPr>
          <w:rFonts w:hint="eastAsia" w:eastAsia="楷体_GB2312"/>
          <w:b/>
          <w:bCs/>
          <w:sz w:val="36"/>
          <w:lang w:val="en-US" w:eastAsia="zh-CN"/>
        </w:rPr>
        <w:t>2026</w:t>
      </w:r>
      <w:r>
        <w:rPr>
          <w:rFonts w:hint="eastAsia" w:eastAsia="楷体_GB2312"/>
          <w:b/>
          <w:bCs/>
          <w:sz w:val="36"/>
        </w:rPr>
        <w:t xml:space="preserve">年 </w:t>
      </w:r>
      <w:r>
        <w:rPr>
          <w:rFonts w:hint="eastAsia" w:eastAsia="楷体_GB2312"/>
          <w:b/>
          <w:bCs/>
          <w:sz w:val="36"/>
          <w:lang w:val="en-US" w:eastAsia="zh-CN"/>
        </w:rPr>
        <w:t>10</w:t>
      </w:r>
      <w:r>
        <w:rPr>
          <w:rFonts w:hint="eastAsia" w:eastAsia="楷体_GB2312"/>
          <w:b/>
          <w:bCs/>
          <w:sz w:val="36"/>
        </w:rPr>
        <w:t xml:space="preserve"> 月 </w:t>
      </w:r>
      <w:r>
        <w:rPr>
          <w:rFonts w:hint="eastAsia" w:eastAsia="楷体_GB2312"/>
          <w:b/>
          <w:bCs/>
          <w:sz w:val="36"/>
          <w:lang w:val="en-US" w:eastAsia="zh-CN"/>
        </w:rPr>
        <w:t>27</w:t>
      </w:r>
      <w:r>
        <w:rPr>
          <w:rFonts w:hint="eastAsia" w:eastAsia="楷体_GB2312"/>
          <w:b/>
          <w:bCs/>
          <w:sz w:val="36"/>
        </w:rPr>
        <w:t xml:space="preserve"> 日</w:t>
      </w:r>
    </w:p>
    <w:p w14:paraId="2118C05E">
      <w:pPr>
        <w:outlineLvl w:val="0"/>
        <w:rPr>
          <w:rFonts w:hint="eastAsia"/>
          <w:b/>
          <w:bCs/>
          <w:sz w:val="32"/>
        </w:rPr>
      </w:pPr>
      <w:r>
        <w:rPr>
          <w:rFonts w:eastAsia="楷体_GB2312"/>
          <w:b/>
          <w:bCs/>
          <w:sz w:val="36"/>
        </w:rPr>
        <w:br w:type="page"/>
      </w:r>
      <w:r>
        <w:rPr>
          <w:rFonts w:hint="eastAsia"/>
          <w:b/>
          <w:bCs/>
          <w:sz w:val="32"/>
        </w:rPr>
        <w:t>一、 简况</w:t>
      </w:r>
    </w:p>
    <w:tbl>
      <w:tblPr>
        <w:tblStyle w:val="5"/>
        <w:tblW w:w="46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"/>
        <w:gridCol w:w="842"/>
        <w:gridCol w:w="263"/>
        <w:gridCol w:w="1469"/>
        <w:gridCol w:w="3787"/>
        <w:gridCol w:w="1427"/>
      </w:tblGrid>
      <w:tr w14:paraId="3FED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5" w:hRule="atLeast"/>
          <w:jc w:val="center"/>
        </w:trPr>
        <w:tc>
          <w:tcPr>
            <w:tcW w:w="256" w:type="pct"/>
            <w:vMerge w:val="restart"/>
            <w:noWrap w:val="0"/>
            <w:textDirection w:val="tbRlV"/>
            <w:vAlign w:val="center"/>
          </w:tcPr>
          <w:p w14:paraId="44E16F0D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513" w:type="pct"/>
            <w:tcBorders>
              <w:bottom w:val="single" w:color="auto" w:sz="4" w:space="0"/>
            </w:tcBorders>
            <w:noWrap w:val="0"/>
            <w:vAlign w:val="center"/>
          </w:tcPr>
          <w:p w14:paraId="676902B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A1502FF">
            <w:pPr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基于多智能体协同的科研文献智能综述生成系统</w:t>
            </w:r>
          </w:p>
        </w:tc>
      </w:tr>
      <w:tr w14:paraId="4924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5" w:hRule="atLeast"/>
          <w:jc w:val="center"/>
        </w:trPr>
        <w:tc>
          <w:tcPr>
            <w:tcW w:w="256" w:type="pct"/>
            <w:vMerge w:val="continue"/>
            <w:tcBorders>
              <w:bottom w:val="single" w:color="auto" w:sz="4" w:space="0"/>
            </w:tcBorders>
            <w:noWrap w:val="0"/>
            <w:textDirection w:val="tbRlV"/>
            <w:vAlign w:val="center"/>
          </w:tcPr>
          <w:p w14:paraId="3A3C180D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13" w:type="pct"/>
            <w:tcBorders>
              <w:bottom w:val="single" w:color="auto" w:sz="4" w:space="0"/>
            </w:tcBorders>
            <w:noWrap w:val="0"/>
            <w:vAlign w:val="center"/>
          </w:tcPr>
          <w:p w14:paraId="48F8A32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04A89F2D">
            <w:pPr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 Multi-Agent System for Verifiable Literature Review Generation</w:t>
            </w:r>
          </w:p>
        </w:tc>
      </w:tr>
      <w:tr w14:paraId="1975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95" w:hRule="atLeast"/>
          <w:jc w:val="center"/>
        </w:trPr>
        <w:tc>
          <w:tcPr>
            <w:tcW w:w="256" w:type="pct"/>
            <w:vMerge w:val="restart"/>
            <w:noWrap w:val="0"/>
            <w:textDirection w:val="tbRlV"/>
            <w:vAlign w:val="center"/>
          </w:tcPr>
          <w:p w14:paraId="5DA0CAF4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项目组成员名单</w:t>
            </w: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2073514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895" w:type="pct"/>
            <w:tcBorders>
              <w:bottom w:val="single" w:color="auto" w:sz="4" w:space="0"/>
            </w:tcBorders>
            <w:noWrap w:val="0"/>
            <w:vAlign w:val="center"/>
          </w:tcPr>
          <w:p w14:paraId="7A5327C3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307" w:type="pct"/>
            <w:tcBorders>
              <w:bottom w:val="single" w:color="auto" w:sz="4" w:space="0"/>
            </w:tcBorders>
            <w:noWrap w:val="0"/>
            <w:vAlign w:val="top"/>
          </w:tcPr>
          <w:p w14:paraId="228096EE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项目中的分工</w:t>
            </w:r>
          </w:p>
        </w:tc>
        <w:tc>
          <w:tcPr>
            <w:tcW w:w="869" w:type="pct"/>
            <w:tcBorders>
              <w:bottom w:val="single" w:color="auto" w:sz="4" w:space="0"/>
            </w:tcBorders>
            <w:noWrap w:val="0"/>
            <w:vAlign w:val="top"/>
          </w:tcPr>
          <w:p w14:paraId="4EEDEB41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签</w:t>
            </w:r>
            <w:r>
              <w:t xml:space="preserve">  </w:t>
            </w:r>
            <w:r>
              <w:rPr>
                <w:rFonts w:hint="eastAsia" w:cs="宋体"/>
              </w:rPr>
              <w:t>章</w:t>
            </w:r>
          </w:p>
        </w:tc>
      </w:tr>
      <w:tr w14:paraId="4DF0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pct"/>
            <w:vMerge w:val="continue"/>
            <w:noWrap w:val="0"/>
            <w:textDirection w:val="tbRlV"/>
            <w:vAlign w:val="center"/>
          </w:tcPr>
          <w:p w14:paraId="35BD4C0A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F5000F">
            <w:pPr>
              <w:ind w:firstLine="211" w:firstLineChars="100"/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895" w:type="pct"/>
            <w:tcBorders>
              <w:bottom w:val="single" w:color="auto" w:sz="4" w:space="0"/>
            </w:tcBorders>
            <w:noWrap w:val="0"/>
            <w:vAlign w:val="center"/>
          </w:tcPr>
          <w:p w14:paraId="209D397C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noWrap w:val="0"/>
            <w:vAlign w:val="center"/>
          </w:tcPr>
          <w:p w14:paraId="6CB532A2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noWrap w:val="0"/>
            <w:vAlign w:val="center"/>
          </w:tcPr>
          <w:p w14:paraId="06B564BE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0C26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pct"/>
            <w:vMerge w:val="continue"/>
            <w:noWrap w:val="0"/>
            <w:textDirection w:val="tbRlV"/>
            <w:vAlign w:val="center"/>
          </w:tcPr>
          <w:p w14:paraId="650C4541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9BF8BCD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95" w:type="pct"/>
            <w:tcBorders>
              <w:bottom w:val="single" w:color="auto" w:sz="4" w:space="0"/>
            </w:tcBorders>
            <w:noWrap w:val="0"/>
            <w:vAlign w:val="center"/>
          </w:tcPr>
          <w:p w14:paraId="34D2AA82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noWrap w:val="0"/>
            <w:vAlign w:val="center"/>
          </w:tcPr>
          <w:p w14:paraId="678D5948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noWrap w:val="0"/>
            <w:vAlign w:val="center"/>
          </w:tcPr>
          <w:p w14:paraId="2EC5DF19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40C5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pct"/>
            <w:vMerge w:val="continue"/>
            <w:noWrap w:val="0"/>
            <w:textDirection w:val="tbRlV"/>
            <w:vAlign w:val="center"/>
          </w:tcPr>
          <w:p w14:paraId="5968E665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B384BD2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95" w:type="pct"/>
            <w:tcBorders>
              <w:bottom w:val="single" w:color="auto" w:sz="4" w:space="0"/>
            </w:tcBorders>
            <w:noWrap w:val="0"/>
            <w:vAlign w:val="center"/>
          </w:tcPr>
          <w:p w14:paraId="206F06C0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noWrap w:val="0"/>
            <w:vAlign w:val="center"/>
          </w:tcPr>
          <w:p w14:paraId="2851C40A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noWrap w:val="0"/>
            <w:vAlign w:val="center"/>
          </w:tcPr>
          <w:p w14:paraId="3DACADB7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1A66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pct"/>
            <w:vMerge w:val="continue"/>
            <w:noWrap w:val="0"/>
            <w:textDirection w:val="tbRlV"/>
            <w:vAlign w:val="center"/>
          </w:tcPr>
          <w:p w14:paraId="1D3FAB1D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77ED4B9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95" w:type="pct"/>
            <w:tcBorders>
              <w:bottom w:val="single" w:color="auto" w:sz="4" w:space="0"/>
            </w:tcBorders>
            <w:noWrap w:val="0"/>
            <w:vAlign w:val="center"/>
          </w:tcPr>
          <w:p w14:paraId="3C453EA0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noWrap w:val="0"/>
            <w:vAlign w:val="center"/>
          </w:tcPr>
          <w:p w14:paraId="63F82743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noWrap w:val="0"/>
            <w:vAlign w:val="center"/>
          </w:tcPr>
          <w:p w14:paraId="26CF1426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3CCD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64" w:hRule="atLeast"/>
          <w:jc w:val="center"/>
        </w:trPr>
        <w:tc>
          <w:tcPr>
            <w:tcW w:w="256" w:type="pct"/>
            <w:tcBorders>
              <w:bottom w:val="single" w:color="auto" w:sz="4" w:space="0"/>
            </w:tcBorders>
            <w:noWrap w:val="0"/>
            <w:textDirection w:val="tbRlV"/>
            <w:vAlign w:val="center"/>
          </w:tcPr>
          <w:p w14:paraId="065CD937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 英 文 摘 要</w:t>
            </w:r>
          </w:p>
        </w:tc>
        <w:tc>
          <w:tcPr>
            <w:tcW w:w="4744" w:type="pct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69CC394">
            <w:pPr>
              <w:pStyle w:val="3"/>
              <w:ind w:left="0" w:firstLine="315" w:firstLineChars="150"/>
              <w:jc w:val="both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本课题针对科研文献综述写作中“检索—精读—归纳—成文”链条长、大模型生成内容难以溯源的问题，设计并实现一个基于多智能体协同的综述生成系统。系统把综述写作拆成规划、检索、全文获取、分析、聚类对比、撰写、校验等阶段，并编译为 LangGraph 状态图：检索阶段以概念、综述、评测、难点四类查询意图并发检索 arXiv，用 RRF 融合多路结果并沿引用图扩展；全文阶段按 arXiv HTML、ar5iv HTML、LaTeX 源码、PDF 四级依次获取并逐篇分节，失败时回退摘要、连续失败熔断；分析阶段按论文展开 N 路并行，为每篇论文生成含问题、方法、新颖性、数据集、指标与局限的结构化卡片，卡片字段必须附能在原文逐字匹配的引文，匹配不上即置空；对比阶段以“标题＋问题＋方法”签名做 TF-IDF 聚类，输出方法族、演进边与指标冲突；写作阶段由模板确定事实与出处，模型只在证据白名单内改写文风；校验阶段依次检查片段存在性、数字一致性与双向词面覆盖，不通过的句子先尝试在同篇论文内重挂证据，再决定丢弃。系统另提供命令行与网页两种入口、SQLite 运行档案与五项指标的评测脚本，支持按环节单独关闭的消融实验。目前系统可在无 API Key 的离线模式下完整运行，已产出 24 篇与 30 篇规模的两篇样例综述。</w:t>
            </w:r>
          </w:p>
        </w:tc>
      </w:tr>
      <w:tr w14:paraId="71F0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8" w:hRule="atLeast"/>
          <w:jc w:val="center"/>
        </w:trPr>
        <w:tc>
          <w:tcPr>
            <w:tcW w:w="256" w:type="pct"/>
            <w:vMerge w:val="continue"/>
            <w:noWrap w:val="0"/>
            <w:vAlign w:val="top"/>
          </w:tcPr>
          <w:p w14:paraId="57620BE6">
            <w:pPr>
              <w:rPr>
                <w:b/>
                <w:bCs/>
              </w:rPr>
            </w:pPr>
          </w:p>
        </w:tc>
        <w:tc>
          <w:tcPr>
            <w:tcW w:w="513" w:type="pct"/>
            <w:noWrap w:val="0"/>
            <w:vAlign w:val="center"/>
          </w:tcPr>
          <w:p w14:paraId="7512421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4231" w:type="pct"/>
            <w:gridSpan w:val="4"/>
            <w:noWrap w:val="0"/>
            <w:vAlign w:val="center"/>
          </w:tcPr>
          <w:p w14:paraId="75BAD4B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多智能体　检索增强生成　文献综述</w:t>
            </w:r>
          </w:p>
        </w:tc>
      </w:tr>
      <w:tr w14:paraId="1238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2" w:hRule="atLeast"/>
          <w:jc w:val="center"/>
        </w:trPr>
        <w:tc>
          <w:tcPr>
            <w:tcW w:w="256" w:type="pct"/>
            <w:vMerge w:val="continue"/>
            <w:tcBorders>
              <w:bottom w:val="single" w:color="auto" w:sz="4" w:space="0"/>
            </w:tcBorders>
            <w:noWrap w:val="0"/>
            <w:vAlign w:val="top"/>
          </w:tcPr>
          <w:p w14:paraId="3B206FF6">
            <w:pPr>
              <w:rPr>
                <w:b/>
                <w:bCs/>
              </w:rPr>
            </w:pPr>
          </w:p>
        </w:tc>
        <w:tc>
          <w:tcPr>
            <w:tcW w:w="513" w:type="pct"/>
            <w:tcBorders>
              <w:bottom w:val="single" w:color="auto" w:sz="4" w:space="0"/>
            </w:tcBorders>
            <w:noWrap w:val="0"/>
            <w:vAlign w:val="center"/>
          </w:tcPr>
          <w:p w14:paraId="6C94C61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5637ACC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Multi-Agent / Retrieval-Augmented Generation / Literature Review</w:t>
            </w:r>
          </w:p>
        </w:tc>
      </w:tr>
    </w:tbl>
    <w:p w14:paraId="410F69B4">
      <w:pPr>
        <w:outlineLvl w:val="0"/>
        <w:rPr>
          <w:b/>
          <w:bCs/>
          <w:sz w:val="32"/>
        </w:rPr>
      </w:pPr>
      <w:r>
        <w:rPr>
          <w:b/>
          <w:bCs/>
          <w:sz w:val="32"/>
        </w:rPr>
        <w:br w:type="page"/>
      </w:r>
      <w:r>
        <w:rPr>
          <w:rFonts w:hint="eastAsia"/>
          <w:b/>
          <w:bCs/>
          <w:sz w:val="32"/>
        </w:rPr>
        <w:t>二、选题依据</w:t>
      </w:r>
    </w:p>
    <w:p w14:paraId="31809868">
      <w:pPr>
        <w:spacing w:before="0" w:after="0" w:line="230" w:lineRule="auto"/>
        <w:ind w:left="0" w:firstLine="420"/>
        <w:jc w:val="both"/>
        <w:rPr>
          <w:rFonts w:hint="eastAsia"/>
          <w:b/>
          <w:bCs/>
          <w:sz w:val="21"/>
          <w:szCs w:val="21"/>
        </w:rPr>
      </w:pPr>
      <w:r>
        <w:rPr>
          <w:rFonts w:ascii="Times New Roman" w:hAnsi="Times New Roman" w:eastAsia="宋体"/>
          <w:b/>
          <w:sz w:val="21"/>
        </w:rPr>
        <w:t>1．研究意义与工程价值。</w:t>
      </w:r>
      <w:r>
        <w:rPr>
          <w:rFonts w:ascii="Times New Roman" w:hAnsi="Times New Roman" w:eastAsia="宋体"/>
          <w:b w:val="0"/>
          <w:sz w:val="21"/>
        </w:rPr>
        <w:t>科研文献数量持续增长，完成一篇综述须经检索、筛选、精读、归纳、对比与成文，通常耗时数周乃至数月；大语言模型虽能快速生成文本，却普遍存在引用幻觉——所引文献并不存在，或观点在原文中缺乏依据，难以直接用于科研与教学。本课题拟构建基于多智能体协同的科研文献智能综述生成系统，把综述写作拆解为规划、检索、分析、聚类、对比、撰写、校验与评估等可独立验证的子任务，由职责单一的智能体沿同一条证据链协同完成。其工程价值有三：一是把初稿产出周期由“周”压缩到分钟级，使研究者把时间用于判断而非抄录；二是以句子级证据绑定约束生成，使正文每一句都能回溯到具体文献片段，便于审阅与复核；三是系统除图编排库外不引入第三方运行时依赖，可离线部署，适合在课题组、图书馆与研究生教学中落地。</w:t>
      </w:r>
    </w:p>
    <w:p w14:paraId="2D6F59AE">
      <w:pPr>
        <w:spacing w:before="48" w:after="0" w:line="230" w:lineRule="auto"/>
        <w:ind w:left="0" w:firstLine="420"/>
        <w:jc w:val="both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</w:rPr>
        <w:t>2．国内外研究现状与发展趋势。</w:t>
      </w:r>
      <w:r>
        <w:rPr>
          <w:rFonts w:ascii="Times New Roman" w:hAnsi="Times New Roman" w:eastAsia="宋体"/>
          <w:b w:val="0"/>
          <w:sz w:val="21"/>
        </w:rPr>
        <w:t>国外研究沿三条路径推进：一是检索增强生成，Lewis 等把外部检索与生成模型耦合，缓解了知识过时与事实性错误，成为文献类问答的范式[1]，其后工作以稀疏与稠密召回互补、再以重排提升相关性[4,5]；二是面向科研的自动化写作，PaperQA 构建“检索—阅读—写作”闭环[3]，AutoSurvey 尝试由大模型完成综述的章节规划与全文生成[2]；三是多智能体协同，MetaGPT 以角色分工与结构化消息组织多个智能体完成复杂任务[6]。国内知网、万方等平台已具备较强的检索与知识组织能力，智源、中科院与清华等团队在中文预训练、中文重排与多智能体框架上进展迅速。总体趋势是由“单模型一次性生成”走向“多阶段协同与证据校验”，由“文本相似度评价”走向“事实一致性与引用可追溯性评价”。</w:t>
      </w:r>
    </w:p>
    <w:p w14:paraId="2AACAD7E">
      <w:pPr>
        <w:spacing w:before="48" w:after="0" w:line="230" w:lineRule="auto"/>
        <w:ind w:left="0" w:firstLine="420"/>
        <w:jc w:val="both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</w:rPr>
        <w:t>3．选题的先进性与实用性。</w:t>
      </w:r>
      <w:r>
        <w:rPr>
          <w:rFonts w:ascii="Times New Roman" w:hAnsi="Times New Roman" w:eastAsia="宋体"/>
          <w:b w:val="0"/>
          <w:sz w:val="21"/>
        </w:rPr>
        <w:t>其一，检索采用“论文—片段”两级粒度：先以四类查询意图并发检索，按 RRF 融合名次而非分值，使风格不同的检索器可以合并，再沿引用图做一跳扩展；段落层用 BM25 与向量双路召回、RRF 融合后启发式重排，接有模型服务时可将哈希向量替换为真实语义向量。其二，写作采用“模板定事实、模型管语言”的白名单机制：骨架句自带论文与片段编号，模型只能引用白名单内的证据编号，越界引用直接丢弃，合格句不足一半则整节退回模板，从机制上保证质量下限。其三，校验把“存在性—数字一致—双向词面覆盖—模型蕴含—带相似度门槛的重挂修复”做成可执行的流水线，修复优先于删除。其四，整条流水线编译为 LangGraph 状态图，用 Send 实现按论文并行、用 defer 汇合、用条件边承载“不合格回退”、用检查点支持断点恢复[7]。其五，全流程状态与产物落盘，评测直接读取 claims.json 等记录而非解析 Markdown，使效果可量化、可复现。其六，默认读取论文全文：按 arXiv HTML、ar5iv、LaTeX 源码、PDF 四级回退并逐篇分节，引用单元从摘要句扩展到章节段落，全部来源失败时自动回落摘要、连续 5 篇失败熔断。</w:t>
      </w:r>
    </w:p>
    <w:p w14:paraId="6607987C">
      <w:pPr>
        <w:spacing w:before="48" w:after="0" w:line="230" w:lineRule="auto"/>
        <w:ind w:left="0" w:firstLine="420"/>
        <w:jc w:val="both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</w:rPr>
        <w:t>4．技术难度与工作量。</w:t>
      </w:r>
      <w:r>
        <w:rPr>
          <w:rFonts w:ascii="Times New Roman" w:hAnsi="Times New Roman" w:eastAsia="宋体"/>
          <w:b w:val="0"/>
          <w:sz w:val="21"/>
        </w:rPr>
        <w:t>技术难点有五：一是长文档结构化生成，须在有限上下文内完成跨文献观点的对齐、归并与冲突消解，避免“摘要堆砌”；二是引用幻觉抑制，须把生成约束在检索到的片段上，并设计可自动执行、可解释的支撑度判定——词面覆盖过松会放过错误引用，过严又会误杀改写句，阈值与判据需实验确定；三是方法族自动划分，TF-IDF 加贪心聚类对阈值敏感，需阈值自适应与单篇族合并策略，语料上千篇时还要更换可扩展的聚类方法；四是全文解析，HTML 与 LaTeX 没有统一结构，公式、图表、脚注与参考文献要剔除，PDF 兜底的分节识别不稳定，须在“读得多”与“引得准”之间取舍；五是双模式一致性，离线启发式与在线大模型必须共用同一套数据契约与校验规则，否则评测结论无法互相比较。工作量上，系统含 5 个职责单一的智能体、8 个编排节点、全文获取与两级检索、SQLite 存储、命令行与网页两套入口，核心代码约 4200 行、自动化测试 55 项；须完成 4 个主题的金标准标注、端到端生成、消融对照与指标评测，并形成技术报告与答辩材料。</w:t>
      </w:r>
    </w:p>
    <w:p w14:paraId="5C76F1FA">
      <w:pPr>
        <w:spacing w:before="48" w:after="0" w:line="230" w:lineRule="auto"/>
        <w:ind w:left="0" w:firstLine="0"/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</w:rPr>
        <w:t>参考文献</w:t>
      </w:r>
    </w:p>
    <w:p w14:paraId="649ECDDC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[1] Lewis P, et al. Retrieval-augmented generation for knowledge-intensive NLP tasks[C]//NeurIPS, 2020.</w:t>
      </w:r>
    </w:p>
    <w:p w14:paraId="71CEE032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[2] Wang Y, et al. AutoSurvey: Large language models can automatically write surveys[J]. arXiv:2406.10252, 2024.</w:t>
      </w:r>
    </w:p>
    <w:p w14:paraId="55574DA5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[3] Lála J, et al. PaperQA: Retrieval-augmented generative agent for scientific research[J]. arXiv:2312.07559, 2023.</w:t>
      </w:r>
    </w:p>
    <w:p w14:paraId="32DF7512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[4] Robertson S, Zaragoza H. The probabilistic relevance framework: BM25 and beyond[J]. Found. Trends IR, 2009, 3(4): 333-389.</w:t>
      </w:r>
    </w:p>
    <w:p w14:paraId="59E5843C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[5] Chen J, et al. BGE M3-embedding: Multi-lingual, multi-granularity text embeddings[J]. arXiv:2402.03216, 2024.</w:t>
      </w:r>
    </w:p>
    <w:p w14:paraId="389BE2ED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hint="eastAsia" w:ascii="Times New Roman" w:hAnsi="Times New Roman" w:eastAsia="宋体"/>
          <w:b w:val="0"/>
          <w:sz w:val="15"/>
        </w:rPr>
        <w:t>[6] Hong S, et al. MetaGPT: Meta programming for a multi-agent collaborative framework[C]//ICLR, 2024.</w:t>
      </w:r>
    </w:p>
    <w:p w14:paraId="3D8A8E42">
      <w:pPr>
        <w:spacing w:before="0" w:after="0" w:line="170" w:lineRule="auto"/>
        <w:ind w:left="300" w:firstLine="0"/>
        <w:jc w:val="left"/>
        <w:rPr>
          <w:sz w:val="15"/>
          <w:szCs w:val="15"/>
        </w:rPr>
      </w:pPr>
      <w:r>
        <w:rPr>
          <w:rFonts w:ascii="Times New Roman" w:hAnsi="Times New Roman" w:eastAsia="宋体"/>
          <w:b w:val="0"/>
          <w:sz w:val="15"/>
        </w:rPr>
        <w:t>[7] LangChain AI. LangGraph: Build stateful, multi-actor LLM applications[EB/OL]. https://github.com/langchain-ai/langgraph, 2024.</w:t>
      </w:r>
    </w:p>
    <w:p w14:paraId="1103EBD8">
      <w:pPr>
        <w:ind w:left="315" w:firstLine="315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三、课题内容及具体方案</w:t>
      </w:r>
    </w:p>
    <w:tbl>
      <w:tblPr>
        <w:tblStyle w:val="5"/>
        <w:tblW w:w="47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2B61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0" w:hRule="atLeast"/>
          <w:jc w:val="center"/>
        </w:trPr>
        <w:tc>
          <w:tcPr>
            <w:tcW w:w="5000" w:type="pct"/>
            <w:noWrap w:val="0"/>
            <w:vAlign w:val="top"/>
          </w:tcPr>
          <w:p w14:paraId="035CB42C">
            <w:pPr>
              <w:spacing w:before="60" w:after="0" w:line="221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1．课题内容</w:t>
            </w:r>
          </w:p>
          <w:p w14:paraId="21FF79FB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（1）研究目标。</w:t>
            </w:r>
            <w:r>
              <w:rPr>
                <w:rFonts w:ascii="Times New Roman" w:hAnsi="Times New Roman" w:eastAsia="宋体"/>
                <w:b w:val="0"/>
                <w:sz w:val="21"/>
              </w:rPr>
              <w:t>输入一个研究主题与论文规模，输出一篇带句子级引用、可逐句回溯的英文综述初稿，含背景与问题定义、方法族分类、技术演进、评测图景、开放问题五章正文，以及引用编号、参考文献与证据附录；提供命令行与网页两种入口，并把运行过程、中间产物与统计数据全部落盘，供审阅与复现。</w:t>
            </w:r>
          </w:p>
          <w:p w14:paraId="6C660AE4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（2）主要研究内容。</w:t>
            </w:r>
            <w:r>
              <w:rPr>
                <w:rFonts w:ascii="Times New Roman" w:hAnsi="Times New Roman" w:eastAsia="宋体"/>
                <w:b w:val="0"/>
                <w:sz w:val="21"/>
              </w:rPr>
              <w:t>①多路检索与融合：概念、综述、评测、难点四类查询，RRF 融合、引用图一跳扩展、磁盘缓存与限流；②全文获取与分节：arXiv HTML、ar5iv、LaTeX、PDF 四级回退，按章节生成 #s/#i/#m/#e 等前缀，失败回落摘要并对连续失败熔断；③结构化读卡与逐字回查：六字段卡片、字段级证据绑定，数据集与指标只在摘要与实验节抽取；④方法族聚类、演进边与指标冲突检测；⑤模板骨架加证据白名单的受控写作；⑥存在性、数字一致与双向词面覆盖的三级校验，以及带相似度门槛的重挂修复；⑦金标准与消融评测；⑧命令行、网页与 SQLite 存储。</w:t>
            </w:r>
          </w:p>
          <w:p w14:paraId="5F7856D9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（3）范围界定。</w:t>
            </w:r>
            <w:r>
              <w:rPr>
                <w:rFonts w:ascii="Times New Roman" w:hAnsi="Times New Roman" w:eastAsia="宋体"/>
                <w:b w:val="0"/>
                <w:sz w:val="21"/>
              </w:rPr>
              <w:t>按主题限定检索范围，不做全领域覆盖；默认读取全文并按四级来源回退，解析为启发式、不接 GROBID，公式、图表与参考文献不入证据；不做全文级的实验复现；不微调模型，通过检索与校验约束生成；不做分布式部署与多语言输出。</w:t>
            </w:r>
          </w:p>
          <w:p w14:paraId="6A0B20A5">
            <w:pPr>
              <w:spacing w:before="60" w:after="0" w:line="221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2．系统需求分析</w:t>
            </w:r>
          </w:p>
          <w:p w14:paraId="30DE834B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功能需求。</w:t>
            </w:r>
            <w:r>
              <w:rPr>
                <w:rFonts w:ascii="Times New Roman" w:hAnsi="Times New Roman" w:eastAsia="宋体"/>
                <w:b w:val="0"/>
                <w:sz w:val="21"/>
              </w:rPr>
              <w:t>面向研究者：输入主题即可获得可审阅的初稿，点击正文角标能查看对应的原文片段与 arXiv 链接；面向工程与评测：同一主题可用不同配置批量运行并对比指标；面向审计：可查看未通过校验的句子、其判定原因与运行 trace，定位到具体片段。</w:t>
            </w:r>
          </w:p>
          <w:p w14:paraId="7F28E7F6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非功能需求。</w:t>
            </w:r>
            <w:r>
              <w:rPr>
                <w:rFonts w:ascii="Times New Roman" w:hAnsi="Times New Roman" w:eastAsia="宋体"/>
                <w:b w:val="0"/>
                <w:sz w:val="21"/>
              </w:rPr>
              <w:t>可离线：无任何 API Key 时全链路可用；可追溯：每条事实句绑定 span，附录给出原文；可复现：检索与全文结果缓存、参数固定、过程留痕；可扩展：大模型、向量服务与存储均为可插拔实现；性能：24 篇论文离线运行在十几秒量级（首次抓全文另需 1–2 分钟），分析阶段并发度可配；健壮性：网络失败显式报错而非静默降级，全文不可得时自动回退摘要、连续 5 篇失败熔断，数据库不可用时仅告警并继续。</w:t>
            </w:r>
          </w:p>
          <w:p w14:paraId="08837E91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约束条件。</w:t>
            </w:r>
            <w:r>
              <w:rPr>
                <w:rFonts w:ascii="Times New Roman" w:hAnsi="Times New Roman" w:eastAsia="宋体"/>
                <w:b w:val="0"/>
                <w:sz w:val="21"/>
              </w:rPr>
              <w:t>Python 3.10 及以上；除图编排库 LangGraph 外不引入第三方运行时依赖；arXiv 请求间隔不小于 3 秒并做本地缓存，避免触发限流。</w:t>
            </w:r>
          </w:p>
          <w:p w14:paraId="05517512">
            <w:pPr>
              <w:spacing w:before="60" w:after="0" w:line="221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3．系统概要设计</w:t>
            </w:r>
          </w:p>
          <w:p w14:paraId="331B827C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分层架构。</w:t>
            </w:r>
            <w:r>
              <w:rPr>
                <w:rFonts w:ascii="Times New Roman" w:hAnsi="Times New Roman" w:eastAsia="宋体"/>
                <w:b w:val="0"/>
                <w:sz w:val="21"/>
              </w:rPr>
              <w:t>系统分为五层：数据契约层（schema，10 类数据结构，定义智能体之间的接口）、能力适配层（arXiv 客户端、全文获取与分节、大模型客户端、向量后端、SQLite 存储与文本工具）、智能体层（拆题、读卡、对比、写作、校验五个职责单一的智能体）、编排层（LangGraph 状态图与统一收尾）与接口层（命令行、网页）。上层只依赖下层的接口，替换模型或存储不影响智能体逻辑。</w:t>
            </w:r>
          </w:p>
          <w:p w14:paraId="13908D3F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编排设计。</w:t>
            </w:r>
            <w:r>
              <w:rPr>
                <w:rFonts w:ascii="Times New Roman" w:hAnsi="Times New Roman" w:eastAsia="宋体"/>
                <w:b w:val="0"/>
                <w:sz w:val="21"/>
              </w:rPr>
              <w:t>流水线为“规划→检索→并行分析→对比→写作→校验→成稿”，校验后接一条条件边：存在未通过句子且轮次小于 2 时进入修复节点，修复后再回校验。分析阶段用 Send 为每篇论文派一个分支、结果写入累加通道，对比节点标记 defer，待全部分支落地后只执行一次；所有节点读写同一份状态，配合检查点支持断点恢复，流程图可自动导出为 Mermaid 供报告使用。</w:t>
            </w:r>
          </w:p>
          <w:p w14:paraId="1F7743AA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数据契约与产物。</w:t>
            </w:r>
            <w:r>
              <w:rPr>
                <w:rFonts w:ascii="Times New Roman" w:hAnsi="Times New Roman" w:eastAsia="宋体"/>
                <w:b w:val="0"/>
                <w:sz w:val="21"/>
              </w:rPr>
              <w:t>引用单元是片段而非论文：片段 id 形如“论文编号#章节前缀+序号”（如 2104.09864#m2），贯穿卡片、声明与正文；每条声明记录句子、引用的论文、引用的片段以及是否为分析句，正文标号由声明渲染而来。一次运行产出综述正文、卡片、方法族、声明、未通过句、统计、trace、流程状态等 11 个文件，并同步写入 SQLite 的 7 张表（运行、论文、片段、卡片、声明、问题、附件）。</w:t>
            </w:r>
          </w:p>
          <w:p w14:paraId="40748DB0">
            <w:pPr>
              <w:spacing w:before="60" w:after="0" w:line="221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4．拟采用的开发方法、环境，测试方案等</w:t>
            </w:r>
          </w:p>
          <w:p w14:paraId="225F69D4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开发方法。</w:t>
            </w:r>
            <w:r>
              <w:rPr>
                <w:rFonts w:ascii="Times New Roman" w:hAnsi="Times New Roman" w:eastAsia="宋体"/>
                <w:b w:val="0"/>
                <w:sz w:val="21"/>
              </w:rPr>
              <w:t>采用迭代增量与离线优先：先把离线启发式链路跑通形成可测基线，再逐项接入大模型能力，接口保持不变；每增加一个环节都配一个可单独关闭的开关，用于单变量消融，避免“一次改四处”的对照。版本管理采用主干加特性分支，接口变更走合并请求并在描述中标注影响范围，关键决策记入开发日志。</w:t>
            </w:r>
          </w:p>
          <w:p w14:paraId="68D1BEB4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运行环境与依赖。</w:t>
            </w:r>
            <w:r>
              <w:rPr>
                <w:rFonts w:ascii="Times New Roman" w:hAnsi="Times New Roman" w:eastAsia="宋体"/>
                <w:b w:val="0"/>
                <w:sz w:val="21"/>
              </w:rPr>
              <w:t>开发与运行环境为 Windows 与 Linux，Python 3.10 及以上，编排依赖 LangGraph 1.2.17；HTTP、XML 解析、JSON、SQLite 与网页服务均使用标准库实现。数据源为 arXiv Atom 接口，可选接入 OpenAI 兼容的大模型与向量接口（DeepSeek、OpenAI、通义等），模型不可用时自动回落到启发式路径。</w:t>
            </w:r>
          </w:p>
          <w:p w14:paraId="136722A1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测试方案。</w:t>
            </w:r>
            <w:r>
              <w:rPr>
                <w:rFonts w:ascii="Times New Roman" w:hAnsi="Times New Roman" w:eastAsia="宋体"/>
                <w:b w:val="0"/>
                <w:sz w:val="21"/>
              </w:rPr>
              <w:t>单元测试覆盖文本处理、BM25 与 RRF、校验器三类判定、写作白名单改写、拆题回退、存储与评测指标，以及全文解析（HTML、LaTeX、纯文本分节与 span 前缀、缓存预算失效、span 配额），共 55 项；端到端测试以桩替换 arXiv 接口，在无网络条件下跑通全流程并核对产物数量与关键字段；消融测试对完整、朴素、关闭修复、关闭对比、关闭稠密五组配置逐一运行并对比保留句数、修复数与引用指标；质量评测以 4 个主题的金标准为参照，计算覆盖、论点、结构、引用精度与引用存在率五项指标，并人工抽查证据附录的可核对性。</w:t>
            </w:r>
          </w:p>
          <w:p w14:paraId="15708919">
            <w:pPr>
              <w:spacing w:before="60" w:after="0" w:line="221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5．技术难度及特色分析</w:t>
            </w:r>
          </w:p>
          <w:p w14:paraId="4F76F4C2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主要难点。</w:t>
            </w:r>
            <w:r>
              <w:rPr>
                <w:rFonts w:ascii="Times New Roman" w:hAnsi="Times New Roman" w:eastAsia="宋体"/>
                <w:b w:val="0"/>
                <w:sz w:val="21"/>
              </w:rPr>
              <w:t>一是证据粒度带来的取舍：以句子为片段虽可逐字核对，却无法支撑实验细节层面的论述，需在范围界定中如实说明；二是支撑度判定的两难：词面覆盖率过低会放过“张冠李戴”，过高会误杀改写句，系统为此设计了“双向覆盖 + 模型蕴含 + 带门槛的重挂修复”的分级策略，阈值仍需按语料调参；三是聚类稳定性：TF-IDF 加贪心聚类受语料规模与阈值影响较大，需阈值自适应与单篇族合并；四是全文解析：HTML 与 LaTeX 没有统一结构，公式、图表、脚注要剔除，PDF 兜底的分节识别不稳定；五是双模式一致性：离线与在线两条路径必须共享同一套契约与校验，否则评测结果不可比。</w:t>
            </w:r>
          </w:p>
          <w:p w14:paraId="7A9AAA10">
            <w:pPr>
              <w:spacing w:before="60" w:after="0" w:line="221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特色与创新。</w:t>
            </w:r>
            <w:r>
              <w:rPr>
                <w:rFonts w:ascii="Times New Roman" w:hAnsi="Times New Roman" w:eastAsia="宋体"/>
                <w:b w:val="0"/>
                <w:sz w:val="21"/>
              </w:rPr>
              <w:t>①句子级证据绑定：不是文末列文献，而是每句事实绑到具体片段，正文、参考文献与证据附录三者可互查；②两级检索加白名单受控写作：先筛论文再筛段落，模型只负责语言、不负责事实；③全文四级回退与章节感知：HTML、ar5iv、LaTeX、PDF 依次尝试，span 自带章节前缀，失败回落摘要；④可关环的消融设计：每个环节都能单独关闭，配合固定的产物格式，使“某一环是否有用”成为可测问题；⑤除编排库外零第三方依赖、可离线运行，核心算法自实现，便于教学演示与二次开发；⑥诚实的失败处理：宁可删句、宁可字段置空，也不让无据内容进入正文。</w:t>
            </w:r>
          </w:p>
          <w:p w14:paraId="4963832B">
            <w:pPr>
              <w:spacing w:before="60" w:after="0" w:line="221" w:lineRule="auto"/>
              <w:rPr>
                <w:rFonts w:hint="eastAsia"/>
                <w:b/>
                <w:bCs/>
              </w:rPr>
            </w:pPr>
          </w:p>
          <w:p w14:paraId="60EB84B3">
            <w:pPr>
              <w:spacing w:before="60" w:after="0" w:line="221" w:lineRule="auto"/>
              <w:rPr>
                <w:rFonts w:hint="eastAsia"/>
                <w:b/>
                <w:bCs/>
              </w:rPr>
            </w:pPr>
          </w:p>
        </w:tc>
      </w:tr>
    </w:tbl>
    <w:p w14:paraId="2322A6C9">
      <w:pPr>
        <w:pageBreakBefore w:val="0"/>
        <w:outlineLvl w:val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四、工作进度的大致安排</w:t>
      </w:r>
    </w:p>
    <w:tbl>
      <w:tblPr>
        <w:tblStyle w:val="5"/>
        <w:tblW w:w="0" w:type="auto"/>
        <w:tblInd w:w="-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"/>
        <w:gridCol w:w="8160"/>
        <w:gridCol w:w="260"/>
      </w:tblGrid>
      <w:tr w14:paraId="6444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98" w:type="dxa"/>
          <w:trHeight w:val="70" w:hRule="atLeast"/>
        </w:trPr>
        <w:tc>
          <w:tcPr>
            <w:tcW w:w="8420" w:type="dxa"/>
            <w:gridSpan w:val="2"/>
            <w:noWrap w:val="0"/>
            <w:vAlign w:val="top"/>
          </w:tcPr>
          <w:p w14:paraId="6B97E193">
            <w:pPr>
              <w:rPr>
                <w:rFonts w:hint="eastAsia"/>
              </w:rPr>
            </w:pPr>
          </w:p>
          <w:p w14:paraId="22E03C3F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1—2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文献调研与方案细化；确定数据契约与评测口径；搭建 arXiv 检索、缓存与限流基线。成果：检索模块与 4 个主题的候选语料。</w:t>
            </w:r>
          </w:p>
          <w:p w14:paraId="78AE94C5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3—4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实现读卡智能体与逐字回查，完成六字段卡片、证据绑定与离线启发式兜底。成果：卡片数据与证据附录雏形。</w:t>
            </w:r>
          </w:p>
          <w:p w14:paraId="2DCBDD22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5—6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接入 LangGraph 编排，实现按论文并行、defer 汇合与校验回退边。成果：端到端可运行的流水线与自动导出的流程图。</w:t>
            </w:r>
          </w:p>
          <w:p w14:paraId="5EDDA504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7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实现模板骨架与证据白名单改写，调优校验阈值与重挂修复策略。成果：五章正文与未通过句清单。</w:t>
            </w:r>
          </w:p>
          <w:p w14:paraId="37934630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8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网页三页（输入、进度、阅读）与 SQLite 落库，打通命令行与网页共用同一流水线。成果：可演示原型。</w:t>
            </w:r>
          </w:p>
          <w:p w14:paraId="4A9FCC22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9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补齐 4 个主题的金标准，运行五项指标评测与五组消融配置。成果：评测报告与消融对照数据。</w:t>
            </w:r>
          </w:p>
          <w:p w14:paraId="2B8E5B16">
            <w:pPr>
              <w:spacing w:before="0" w:after="80"/>
              <w:ind w:firstLine="42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第 10 周：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整理技术报告、样例综述与答辩材料，完成代码与文档的收口。成果：技术报告、样例两篇、答辩 PPT。</w:t>
            </w:r>
          </w:p>
        </w:tc>
      </w:tr>
      <w:tr w14:paraId="1DD6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60" w:type="dxa"/>
          <w:trHeight w:val="3257" w:hRule="atLeast"/>
        </w:trPr>
        <w:tc>
          <w:tcPr>
            <w:tcW w:w="8458" w:type="dxa"/>
            <w:gridSpan w:val="2"/>
            <w:noWrap w:val="0"/>
            <w:vAlign w:val="top"/>
          </w:tcPr>
          <w:p w14:paraId="23CBE640">
            <w:pPr>
              <w:spacing w:before="156" w:beforeLines="50"/>
              <w:ind w:firstLine="0"/>
              <w:rPr>
                <w:rFonts w:hint="eastAsia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预期成果及特色</w:t>
            </w:r>
          </w:p>
          <w:p w14:paraId="2C70422E">
            <w:pPr>
              <w:spacing w:before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（1）可运行系统：命令行与网页两套入口，含部署与使用说明；一次运行产出综述正文、卡片、方法族、声明、未通过句、统计、trace 等 11 个文件，并写入 SQLite 运行档案。</w:t>
            </w:r>
          </w:p>
          <w:p w14:paraId="4C0FFAA6">
            <w:pPr>
              <w:spacing w:before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（2）样例与语料：24 篇与 30 篇规模的两篇样例综述（含证据附录）；4 个主题的金标准标注与候选语料快照。</w:t>
            </w:r>
          </w:p>
          <w:p w14:paraId="1C2235BA">
            <w:pPr>
              <w:spacing w:before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（3）评测数据：覆盖、论点、结构、引用精度、引用存在率五项指标的主题级结果，以及完整、朴素、关闭修复、关闭对比、关闭稠密五组配置的消融对照。</w:t>
            </w:r>
          </w:p>
          <w:p w14:paraId="5A9DA78B">
            <w:pPr>
              <w:spacing w:before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（4）文档与材料：技术报告、开发日志与答辩材料。</w:t>
            </w:r>
          </w:p>
          <w:p w14:paraId="5A67082B">
            <w:pPr>
              <w:spacing w:before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特色：句子级证据绑定与证据附录；两级检索加证据白名单的受控写作；每个环节可单独关闭的可测设计；除编排库外零第三方依赖、可离线运行。</w:t>
            </w:r>
          </w:p>
        </w:tc>
      </w:tr>
      <w:tr w14:paraId="56D1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60" w:type="dxa"/>
          <w:trHeight w:val="3729" w:hRule="atLeast"/>
        </w:trPr>
        <w:tc>
          <w:tcPr>
            <w:tcW w:w="8458" w:type="dxa"/>
            <w:gridSpan w:val="2"/>
            <w:noWrap w:val="0"/>
            <w:vAlign w:val="top"/>
          </w:tcPr>
          <w:p w14:paraId="1815C7B5">
            <w:pPr>
              <w:spacing w:before="156" w:beforeLines="5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导师意见（</w:t>
            </w:r>
            <w:r>
              <w:rPr>
                <w:rFonts w:hint="eastAsia"/>
                <w:b/>
                <w:bCs/>
              </w:rPr>
              <w:t>对选题和工作过程及成果进行说明，并给出成绩。</w:t>
            </w:r>
            <w:r>
              <w:rPr>
                <w:rFonts w:hint="eastAsia"/>
                <w:b/>
                <w:bCs/>
                <w:sz w:val="24"/>
              </w:rPr>
              <w:t>）</w:t>
            </w:r>
          </w:p>
          <w:p w14:paraId="258FD0C2">
            <w:pPr>
              <w:rPr>
                <w:rFonts w:hint="eastAsia"/>
                <w:b/>
                <w:bCs/>
              </w:rPr>
            </w:pPr>
          </w:p>
          <w:p w14:paraId="07A2F11A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B833257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3582233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3343D1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674AFF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D366194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156D9752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8C3DCCD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2919E4A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7048D90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88AAC63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7B83D87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1F174AE2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1EFA9A2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6975EDC1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3498DD5">
            <w:pPr>
              <w:wordWrap w:val="0"/>
              <w:ind w:right="420" w:firstLine="1857" w:firstLineChars="88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导师签名：         </w:t>
            </w:r>
          </w:p>
          <w:p w14:paraId="3429E877">
            <w:pPr>
              <w:tabs>
                <w:tab w:val="left" w:pos="6406"/>
              </w:tabs>
              <w:wordWrap w:val="0"/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  <w:tr w14:paraId="6F08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60" w:type="dxa"/>
          <w:trHeight w:val="3730" w:hRule="atLeast"/>
        </w:trPr>
        <w:tc>
          <w:tcPr>
            <w:tcW w:w="8458" w:type="dxa"/>
            <w:gridSpan w:val="2"/>
            <w:noWrap w:val="0"/>
            <w:vAlign w:val="top"/>
          </w:tcPr>
          <w:p w14:paraId="7EE84DBD">
            <w:pPr>
              <w:spacing w:before="156" w:beforeLines="5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答辩小组意见</w:t>
            </w:r>
          </w:p>
          <w:p w14:paraId="4FB7F032">
            <w:pPr>
              <w:rPr>
                <w:rFonts w:hint="eastAsia"/>
                <w:b/>
                <w:bCs/>
              </w:rPr>
            </w:pPr>
          </w:p>
          <w:p w14:paraId="7FB04860">
            <w:pPr>
              <w:rPr>
                <w:rFonts w:hint="eastAsia"/>
                <w:b/>
                <w:bCs/>
              </w:rPr>
            </w:pPr>
          </w:p>
          <w:p w14:paraId="0DE6178E">
            <w:pPr>
              <w:rPr>
                <w:rFonts w:hint="eastAsia"/>
                <w:b/>
                <w:bCs/>
              </w:rPr>
            </w:pPr>
          </w:p>
          <w:p w14:paraId="46C73FCB">
            <w:pPr>
              <w:rPr>
                <w:rFonts w:hint="eastAsia"/>
                <w:b/>
                <w:bCs/>
              </w:rPr>
            </w:pPr>
          </w:p>
          <w:p w14:paraId="0E41BC90">
            <w:pPr>
              <w:rPr>
                <w:rFonts w:hint="eastAsia"/>
                <w:b/>
                <w:bCs/>
              </w:rPr>
            </w:pPr>
          </w:p>
          <w:p w14:paraId="0944D326">
            <w:pPr>
              <w:rPr>
                <w:rFonts w:hint="eastAsia"/>
                <w:b/>
                <w:bCs/>
              </w:rPr>
            </w:pPr>
          </w:p>
          <w:p w14:paraId="124E60D6">
            <w:pPr>
              <w:rPr>
                <w:rFonts w:hint="eastAsia"/>
                <w:b/>
                <w:bCs/>
              </w:rPr>
            </w:pPr>
          </w:p>
          <w:p w14:paraId="7D62DE25">
            <w:pPr>
              <w:rPr>
                <w:rFonts w:hint="eastAsia"/>
                <w:b/>
                <w:bCs/>
              </w:rPr>
            </w:pPr>
          </w:p>
          <w:p w14:paraId="1CE2B984">
            <w:pPr>
              <w:rPr>
                <w:rFonts w:hint="eastAsia"/>
                <w:b/>
                <w:bCs/>
              </w:rPr>
            </w:pPr>
          </w:p>
          <w:p w14:paraId="040EB580">
            <w:pPr>
              <w:rPr>
                <w:rFonts w:hint="eastAsia"/>
                <w:b/>
                <w:bCs/>
              </w:rPr>
            </w:pPr>
          </w:p>
          <w:p w14:paraId="19F75587">
            <w:pPr>
              <w:rPr>
                <w:rFonts w:hint="eastAsia"/>
                <w:b/>
                <w:bCs/>
              </w:rPr>
            </w:pPr>
          </w:p>
          <w:p w14:paraId="48B1A655">
            <w:pPr>
              <w:rPr>
                <w:rFonts w:hint="eastAsia"/>
                <w:b/>
                <w:bCs/>
              </w:rPr>
            </w:pPr>
          </w:p>
          <w:p w14:paraId="21A14054">
            <w:pPr>
              <w:rPr>
                <w:rFonts w:hint="eastAsia"/>
                <w:b/>
                <w:bCs/>
              </w:rPr>
            </w:pPr>
          </w:p>
          <w:p w14:paraId="46BEC792">
            <w:pPr>
              <w:rPr>
                <w:rFonts w:hint="eastAsia"/>
                <w:b/>
                <w:bCs/>
              </w:rPr>
            </w:pPr>
          </w:p>
          <w:p w14:paraId="3308273F">
            <w:pPr>
              <w:rPr>
                <w:rFonts w:hint="eastAsia"/>
                <w:b/>
                <w:bCs/>
              </w:rPr>
            </w:pPr>
          </w:p>
          <w:p w14:paraId="444D690F">
            <w:pPr>
              <w:ind w:right="420" w:firstLine="1889" w:firstLineChars="89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答辩组长签名：</w:t>
            </w:r>
          </w:p>
          <w:p w14:paraId="616B72C9">
            <w:pPr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</w:tbl>
    <w:p w14:paraId="044EE809">
      <w:pPr>
        <w:rPr>
          <w:rFonts w:hint="eastAsia"/>
          <w:b/>
          <w:bCs/>
          <w:sz w:val="10"/>
        </w:rPr>
      </w:pPr>
    </w:p>
    <w:sectPr>
      <w:footerReference r:id="rId3" w:type="default"/>
      <w:footerReference r:id="rId4" w:type="even"/>
      <w:pgSz w:w="10433" w:h="14742"/>
      <w:pgMar w:top="907" w:right="851" w:bottom="907" w:left="851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CC461"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4</w:t>
    </w:r>
    <w:r>
      <w:rPr>
        <w:rStyle w:val="8"/>
      </w:rPr>
      <w:fldChar w:fldCharType="end"/>
    </w:r>
  </w:p>
  <w:p w14:paraId="08D6CE91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F9918"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354DB673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31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49DA"/>
    <w:rsid w:val="000158A6"/>
    <w:rsid w:val="000F7FBB"/>
    <w:rsid w:val="001F730F"/>
    <w:rsid w:val="00223EBE"/>
    <w:rsid w:val="0029364B"/>
    <w:rsid w:val="003F7A05"/>
    <w:rsid w:val="004E0307"/>
    <w:rsid w:val="00560148"/>
    <w:rsid w:val="00586218"/>
    <w:rsid w:val="006321FC"/>
    <w:rsid w:val="00654F35"/>
    <w:rsid w:val="00865C27"/>
    <w:rsid w:val="008E25A1"/>
    <w:rsid w:val="009E0382"/>
    <w:rsid w:val="009F30D8"/>
    <w:rsid w:val="00A03F85"/>
    <w:rsid w:val="00AC0EA3"/>
    <w:rsid w:val="00AF6391"/>
    <w:rsid w:val="00B17201"/>
    <w:rsid w:val="00B44702"/>
    <w:rsid w:val="00B55E9C"/>
    <w:rsid w:val="00BC630F"/>
    <w:rsid w:val="00BF440E"/>
    <w:rsid w:val="00C3035F"/>
    <w:rsid w:val="00D04243"/>
    <w:rsid w:val="00D15A84"/>
    <w:rsid w:val="00D202F2"/>
    <w:rsid w:val="00D6413E"/>
    <w:rsid w:val="00DE1458"/>
    <w:rsid w:val="00E062FE"/>
    <w:rsid w:val="00E70154"/>
    <w:rsid w:val="00E749DA"/>
    <w:rsid w:val="00E94B86"/>
    <w:rsid w:val="00ED12BC"/>
    <w:rsid w:val="03FD2825"/>
    <w:rsid w:val="12B95BBC"/>
    <w:rsid w:val="4A4628FB"/>
    <w:rsid w:val="4E817B1E"/>
    <w:rsid w:val="50A47A33"/>
    <w:rsid w:val="5DF36F80"/>
    <w:rsid w:val="7DB31B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ody Text"/>
    <w:basedOn w:val="1"/>
    <w:qFormat/>
    <w:uiPriority w:val="0"/>
    <w:pPr>
      <w:ind w:left="397" w:firstLine="170"/>
    </w:pPr>
    <w:rPr>
      <w:rFonts w:ascii="Century" w:hAnsi="Century" w:eastAsia="MS Mincho"/>
      <w:szCs w:val="20"/>
      <w:lang w:eastAsia="ja-JP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page number"/>
    <w:basedOn w:val="6"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ustc</Company>
  <Pages>8</Pages>
  <Words>690</Words>
  <Characters>849</Characters>
  <Lines>5</Lines>
  <Paragraphs>1</Paragraphs>
  <TotalTime>16</TotalTime>
  <ScaleCrop>false</ScaleCrop>
  <LinksUpToDate>false</LinksUpToDate>
  <CharactersWithSpaces>949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2006-03-04T14:05:00Z</dcterms:created>
  <dc:creator>macintosh leung</dc:creator>
  <cp:lastModifiedBy>张子涵</cp:lastModifiedBy>
  <cp:lastPrinted>2006-02-12T02:55:00Z</cp:lastPrinted>
  <dcterms:modified xsi:type="dcterms:W3CDTF">2026-10-29T12:37:11Z</dcterms:modified>
  <dc:title>中国科学技术大学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eyJoZGlkIjoiODAxZGYxZDIxMDVkNzkxMTI0YjVkYzdmMDZmNzYxYWUiLCJ1c2VySWQiOiIxNzcyNjg2NDA2In0=</vt:lpwstr>
  </property>
  <property fmtid="{D5CDD505-2E9C-101B-9397-08002B2CF9AE}" pid="3" name="KSOProductBuildVer">
    <vt:lpwstr>2052-12.1.0.29161</vt:lpwstr>
  </property>
  <property fmtid="{D5CDD505-2E9C-101B-9397-08002B2CF9AE}" pid="4" name="ICV">
    <vt:lpwstr>484F2B3FBB674A9FA3F710C64C2A4D51_13</vt:lpwstr>
  </property>
</Properties>
</file>