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  <w:lang w:val="en-US" w:eastAsia="zh-CN"/>
        </w:rPr>
        <w:t>詹李钦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201530651780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599585056@qq.com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  <w:lang w:val="en-US" w:eastAsia="zh-CN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8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逻辑回归、线性分类与梯度下降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8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报告人:詹李钦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 xml:space="preserve">   1.</w:t>
      </w:r>
      <w:r>
        <w:rPr>
          <w:rFonts w:hint="eastAsia" w:ascii="黑体" w:hAnsi="黑体" w:eastAsia="黑体" w:cs="黑体"/>
          <w:lang w:val="en-US" w:eastAsia="zh-CN"/>
        </w:rPr>
        <w:t>进一步理解线性回归和梯度下降的原理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 2.在小规模数据集上实践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 3.体会优化和调参的过程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1.线性回归使用的是LIBSVM Data 中的Housing 数据，包含506个样本，每个样本有13个属性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2.线性分类使用的是LIBSVM Data 中的australian 数据，包含690个样本，每个样本有14个属性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  <w:t>线性回归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:</w:t>
      </w:r>
    </w:p>
    <w:p>
      <w:r>
        <w:drawing>
          <wp:inline distT="0" distB="0" distL="114300" distR="114300">
            <wp:extent cx="5267960" cy="1796415"/>
            <wp:effectExtent l="0" t="0" r="5080" b="190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线性分类：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55470"/>
            <wp:effectExtent l="0" t="0" r="4445" b="381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  <w:t>线性回归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: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（针对逻辑回归和线性分类分别填写8-11内容）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线性模型初始化，使用全零初始化。 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  Loss:</w:t>
      </w: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049780" cy="845820"/>
            <wp:effectExtent l="0" t="0" r="762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Descent: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407920" cy="51816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10.实验结果和曲线图:</w:t>
      </w:r>
      <w:r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  <w:t>（各种梯度下降方式分别填写此项）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learningRate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1.leaningRate=0.01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3734435" cy="228600"/>
            <wp:effectExtent l="0" t="0" r="1460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2.leaningRate=0.02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3543300" cy="175260"/>
            <wp:effectExtent l="0" t="0" r="7620" b="762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3.leaningRate=0.03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3543300" cy="152400"/>
            <wp:effectExtent l="0" t="0" r="762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3.leaningRate=0.05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97580" cy="167640"/>
            <wp:effectExtent l="0" t="0" r="762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</w:t>
      </w:r>
      <w:r>
        <w:drawing>
          <wp:inline distT="0" distB="0" distL="114300" distR="114300">
            <wp:extent cx="4679315" cy="2743200"/>
            <wp:effectExtent l="0" t="0" r="1460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11.实验结果分析: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随着learningRate的提高，整个模型的损失函数在下降，最后稳定在4164和2113左右。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线性分类：</w:t>
      </w:r>
      <w:bookmarkStart w:id="0" w:name="_GoBack"/>
      <w:bookmarkEnd w:id="0"/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firstLine="562" w:firstLineChars="200"/>
        <w:jc w:val="both"/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8.模型参数的初始化方法: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支持向量机模型初始化，使用全零初始化。 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9.选择的loss函数及其导数:</w:t>
      </w:r>
    </w:p>
    <w:p>
      <w:p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  Loss: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552700" cy="44196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Descent: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731520" cy="1524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10.实验结果和曲线图:</w:t>
      </w:r>
      <w:r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  <w:t>（各种梯度下降方式分别填写此项）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C learningRate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numPr>
          <w:ilvl w:val="0"/>
          <w:numId w:val="3"/>
        </w:numPr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C=0.1 learningRate=0.01: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   </w:t>
      </w:r>
      <w:r>
        <w:drawing>
          <wp:inline distT="0" distB="0" distL="114300" distR="114300">
            <wp:extent cx="1409700" cy="182880"/>
            <wp:effectExtent l="0" t="0" r="7620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C=0.4 learningRate=0.01: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   </w:t>
      </w:r>
      <w:r>
        <w:drawing>
          <wp:inline distT="0" distB="0" distL="114300" distR="114300">
            <wp:extent cx="1577340" cy="281940"/>
            <wp:effectExtent l="0" t="0" r="7620" b="762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C=0.5 learningRate=0.01: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417320" cy="167640"/>
            <wp:effectExtent l="0" t="0" r="0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C=1 learningRate=0.01: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661160" cy="220980"/>
            <wp:effectExtent l="0" t="0" r="0" b="762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C=2 learningRate=0.01: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394460" cy="220980"/>
            <wp:effectExtent l="0" t="0" r="7620" b="762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74515" cy="2887980"/>
            <wp:effectExtent l="0" t="0" r="14605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随着C的提高，整个模型的损失函数在下降，同时准确率在提高，最后稳定在0.88左右。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11.对比逻辑回归和线性分类的异同点：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共同点：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都是通过计算线性距离进行调优，使最总的线性距离最小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不同点：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逻辑回归是每个点都要参与计算，线性分类是错分的点参与，后期很多点都不在参与计算和调优。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firstLine="281" w:firstLineChars="10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12.实验总结：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本次实验先是学习对数据的读取和格式转换，然后学习相关模型的损失函数和求导，最后进行编码测试，能得到相对理想的结果，但有很多参数调优的结果难以理解。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E6AA"/>
    <w:multiLevelType w:val="singleLevel"/>
    <w:tmpl w:val="5A29E6AA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5A29EB43"/>
    <w:multiLevelType w:val="singleLevel"/>
    <w:tmpl w:val="5A29EB43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A29F33E"/>
    <w:multiLevelType w:val="singleLevel"/>
    <w:tmpl w:val="5A29F3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6D0413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风年</cp:lastModifiedBy>
  <dcterms:modified xsi:type="dcterms:W3CDTF">2017-12-08T02:13:33Z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