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rPr>
          <w:rFonts w:hint="eastAsia"/>
        </w:rPr>
      </w:pPr>
      <w:r>
        <w:rPr>
          <w:rFonts w:hint="eastAsia"/>
          <w:b/>
          <w:bCs/>
          <w:sz w:val="40"/>
          <w:szCs w:val="40"/>
        </w:rPr>
        <w:t xml:space="preserve">1-4</w:t>
      </w:r>
    </w:p>
    <w:p>
      <w:pPr>
        <w:keepNext/>
        <w:spacing w:after="60"/>
        <w:rPr>
          <w:rFonts w:hint="eastAsia"/>
        </w:rPr>
      </w:pPr>
      <w:r>
        <w:rPr>
          <w:rFonts w:hint="eastAsia"/>
          <w:b/>
          <w:bCs/>
          <w:color w:val="1F3864"/>
          <w:sz w:val="21"/>
          <w:szCs w:val="21"/>
        </w:rPr>
        <w:t xml:space="preserve">Slide 1  Cover</w:t>
      </w:r>
      <w:r>
        <w:rPr>
          <w:rFonts w:hint="eastAsia"/>
          <w:color w:val="7F7F7F"/>
          <w:sz w:val="18"/>
          <w:szCs w:val="18"/>
        </w:rPr>
        <w:t xml:space="preserve">   about 90 words, 0:35</w:t>
      </w:r>
    </w:p>
    <w:p>
      <w:pPr>
        <w:spacing w:after="120"/>
        <w:rPr>
          <w:rFonts w:hint="eastAsia"/>
        </w:rPr>
      </w:pPr>
      <w:r>
        <w:rPr>
          <w:rFonts w:hint="eastAsia"/>
        </w:rPr>
        <w:t xml:space="preserve">Good evening, professor. We are Group 2, and today we'll show you how we'd put 250 million dollars into shipping. Our idea in one line: skip the peak, buy value, lock income. We buy five secondhand ships. Three go on fixed charters, two trade in the spot market, and we keep 5 million in cash. Before operating expenses, that earns 19.9 percent in a normal year, and 17.9 even in a bad one. Almost every price and rate you'll see is a real deal from the Clarksons Shipping Intelligence Network.</w:t>
      </w:r>
    </w:p>
    <w:p>
      <w:pPr>
        <w:rPr>
          <w:rFonts w:hint="eastAsia"/>
        </w:rPr>
      </w:pPr>
    </w:p>
    <w:p>
      <w:pPr>
        <w:keepNext/>
        <w:spacing w:after="60"/>
        <w:rPr>
          <w:rFonts w:hint="eastAsia"/>
        </w:rPr>
      </w:pPr>
      <w:r>
        <w:rPr>
          <w:rFonts w:hint="eastAsia"/>
          <w:b/>
          <w:bCs/>
          <w:color w:val="1F3864"/>
          <w:sz w:val="21"/>
          <w:szCs w:val="21"/>
        </w:rPr>
        <w:t xml:space="preserve">Slide 2  Outline</w:t>
      </w:r>
      <w:r>
        <w:rPr>
          <w:rFonts w:hint="eastAsia"/>
          <w:color w:val="7F7F7F"/>
          <w:sz w:val="18"/>
          <w:szCs w:val="18"/>
        </w:rPr>
        <w:t xml:space="preserve">   about 32 words, 0:15</w:t>
      </w:r>
    </w:p>
    <w:p>
      <w:pPr>
        <w:spacing w:after="120"/>
        <w:rPr>
          <w:rFonts w:hint="eastAsia"/>
        </w:rPr>
      </w:pPr>
      <w:r>
        <w:rPr>
          <w:rFonts w:hint="eastAsia"/>
        </w:rPr>
        <w:t xml:space="preserve">Here's our outline. It follows the brief, item by item, in seven parts: the decision, where our prices come from, demand and supply, the market news, earnings, risks, and a quick wrap-up.</w:t>
      </w:r>
    </w:p>
    <w:p>
      <w:pPr>
        <w:rPr>
          <w:rFonts w:hint="eastAsia"/>
        </w:rPr>
      </w:pPr>
    </w:p>
    <w:p>
      <w:pPr>
        <w:keepNext/>
        <w:spacing w:after="60"/>
        <w:rPr>
          <w:rFonts w:hint="eastAsia"/>
        </w:rPr>
      </w:pPr>
      <w:r>
        <w:rPr>
          <w:rFonts w:hint="eastAsia"/>
          <w:b/>
          <w:bCs/>
          <w:color w:val="1F3864"/>
          <w:sz w:val="21"/>
          <w:szCs w:val="21"/>
        </w:rPr>
        <w:t xml:space="preserve">Slide 3  The decision</w:t>
      </w:r>
      <w:r>
        <w:rPr>
          <w:rFonts w:hint="eastAsia"/>
          <w:color w:val="7F7F7F"/>
          <w:sz w:val="18"/>
          <w:szCs w:val="18"/>
        </w:rPr>
        <w:t xml:space="preserve">   about 252 words, 1:40</w:t>
      </w:r>
    </w:p>
    <w:p>
      <w:pPr>
        <w:spacing w:after="120"/>
        <w:rPr>
          <w:rFonts w:hint="eastAsia"/>
        </w:rPr>
      </w:pPr>
      <w:r>
        <w:rPr>
          <w:rFonts w:hint="eastAsia"/>
        </w:rPr>
        <w:t xml:space="preserve">OK, let's start with the decision. This one table is the whole project: how much, why, and the data.</w:t>
      </w:r>
    </w:p>
    <w:p>
      <w:pPr>
        <w:spacing w:after="120"/>
        <w:rPr>
          <w:rFonts w:hint="eastAsia"/>
        </w:rPr>
      </w:pPr>
      <w:r>
        <w:rPr>
          <w:rFonts w:hint="eastAsia"/>
        </w:rPr>
        <w:t xml:space="preserve">Two MR tankers first. MR stands for Medium Range, mid-size tankers for oil products. 100 million, forty percent. A five-year-old MR costs about the same as a new one, 0.99 times, so we're buying at replacement cost, and products trade grows 6.3 percent next year. One MR is fixed for a year. The other stays on spot. Spot is above the one-year rate right now, but that rate already expects a drop. So staying open costs us little and keeps the upside. If spot stays under 20,000 a day for eight weeks, we fix that one too.</w:t>
      </w:r>
    </w:p>
    <w:p>
      <w:pPr>
        <w:spacing w:after="120"/>
        <w:rPr>
          <w:rFonts w:hint="eastAsia"/>
        </w:rPr>
      </w:pPr>
      <w:r>
        <w:rPr>
          <w:rFonts w:hint="eastAsia"/>
        </w:rPr>
        <w:t xml:space="preserve">One Aframax crude tanker, 75 million, thirty percent. It has the smallest orderbook of our five segments, 8.4 percent: 62 ships on order against 223 ships over twenty years old. On 31 August another owner fixed an Aframax for three years at 40,000 a day. We use it as our benchmark to lock our income through the 2027 to 2028 delivery wave.</w:t>
      </w:r>
    </w:p>
    <w:p>
      <w:pPr>
        <w:spacing w:after="120"/>
        <w:rPr>
          <w:rFonts w:hint="eastAsia"/>
        </w:rPr>
      </w:pPr>
      <w:r>
        <w:rPr>
          <w:rFonts w:hint="eastAsia"/>
        </w:rPr>
        <w:t xml:space="preserve">Two Kamsarmax bulk carriers, 70 million, twenty-eight percent. Dry bulk is strong, but off its September high. Prices are only nine percent above a new ship, and Guinea's bauxite exports are up 29 percent.</w:t>
      </w:r>
    </w:p>
    <w:p>
      <w:pPr>
        <w:spacing w:after="120"/>
        <w:rPr>
          <w:rFonts w:hint="eastAsia"/>
        </w:rPr>
      </w:pPr>
      <w:r>
        <w:rPr>
          <w:rFonts w:hint="eastAsia"/>
        </w:rPr>
        <w:t xml:space="preserve">Five million stays in cash, almost five months of operating expenses.</w:t>
      </w:r>
    </w:p>
    <w:p>
      <w:pPr>
        <w:spacing w:after="120"/>
        <w:rPr>
          <w:rFonts w:hint="eastAsia"/>
        </w:rPr>
      </w:pPr>
      <w:r>
        <w:rPr>
          <w:rFonts w:hint="eastAsia"/>
        </w:rPr>
        <w:t xml:space="preserve">Why fix three ships? Three is the fewest that keeps us above 15 percent in our stress test back to 2010. Our scenarios give 17.9, 19.9 and 23.7 percent.</w:t>
      </w:r>
    </w:p>
    <w:p>
      <w:pPr>
        <w:rPr>
          <w:rFonts w:hint="eastAsia"/>
        </w:rPr>
      </w:pPr>
    </w:p>
    <w:p>
      <w:pPr>
        <w:keepNext/>
        <w:spacing w:after="60"/>
        <w:rPr>
          <w:rFonts w:hint="eastAsia"/>
        </w:rPr>
      </w:pPr>
      <w:r>
        <w:rPr>
          <w:rFonts w:hint="eastAsia"/>
          <w:b/>
          <w:bCs/>
          <w:color w:val="1F3864"/>
          <w:sz w:val="21"/>
          <w:szCs w:val="21"/>
        </w:rPr>
        <w:t xml:space="preserve">Slide 4  Ship by ship</w:t>
      </w:r>
      <w:r>
        <w:rPr>
          <w:rFonts w:hint="eastAsia"/>
          <w:color w:val="7F7F7F"/>
          <w:sz w:val="18"/>
          <w:szCs w:val="18"/>
        </w:rPr>
        <w:t xml:space="preserve">   about 86 words, 0:35</w:t>
      </w:r>
    </w:p>
    <w:p>
      <w:pPr>
        <w:spacing w:after="120"/>
        <w:rPr>
          <w:rFonts w:hint="eastAsia"/>
        </w:rPr>
      </w:pPr>
      <w:r>
        <w:rPr>
          <w:rFonts w:hint="eastAsia"/>
        </w:rPr>
        <w:t xml:space="preserve">Here's the same money, ship by ship. Each row shows the deal behind the price. Two quick points. First, it's all equity. No loans means no interest and no repayments in a bad year. If the board wants leverage later, banks lend 60 to 80 percent on five-year-old ships. Second, all five ships are built in Japan or Korea. With a non-Chinese owner, they skip the new US port fees on Chinese ships, the Section 301 fees. The pause on those fees ends around 10 November.</w:t>
      </w:r>
    </w:p>
    <w:p>
      <w:pPr>
        <w:rPr>
          <w:rFonts w:hint="eastAsia"/>
        </w:rPr>
      </w:pPr>
    </w:p>
    <w:p>
      <w:r>
        <w:br w:type="page"/>
      </w:r>
    </w:p>
    <w:p>
      <w:pPr>
        <w:keepNext/>
        <w:rPr>
          <w:rFonts w:hint="eastAsia"/>
        </w:rPr>
      </w:pPr>
      <w:r>
        <w:rPr>
          <w:rFonts w:hint="eastAsia"/>
          <w:b/>
          <w:bCs/>
          <w:sz w:val="40"/>
          <w:szCs w:val="40"/>
        </w:rPr>
        <w:t xml:space="preserve">5-9</w:t>
      </w:r>
    </w:p>
    <w:p>
      <w:pPr>
        <w:keepNext/>
        <w:spacing w:after="60"/>
        <w:rPr>
          <w:rFonts w:hint="eastAsia"/>
        </w:rPr>
      </w:pPr>
      <w:r>
        <w:rPr>
          <w:rFonts w:hint="eastAsia"/>
          <w:b/>
          <w:bCs/>
          <w:color w:val="1F3864"/>
          <w:sz w:val="21"/>
          <w:szCs w:val="21"/>
        </w:rPr>
        <w:t xml:space="preserve">Slide 5  Why secondhand</w:t>
      </w:r>
      <w:r>
        <w:rPr>
          <w:rFonts w:hint="eastAsia"/>
          <w:color w:val="7F7F7F"/>
          <w:sz w:val="18"/>
          <w:szCs w:val="18"/>
        </w:rPr>
        <w:t xml:space="preserve">   about 126 words, 0:50</w:t>
      </w:r>
    </w:p>
    <w:p>
      <w:pPr>
        <w:spacing w:after="120"/>
        <w:rPr>
          <w:rFonts w:hint="eastAsia"/>
        </w:rPr>
      </w:pPr>
      <w:r>
        <w:rPr>
          <w:rFonts w:hint="eastAsia"/>
        </w:rPr>
        <w:t xml:space="preserve">The brief lets us buy or charter in, so we checked three routes for both tankers and bulkers. Chartering in only earns the gap between the hire we pay and what the ship makes. A Kamsarmax costs 22,000 a day to charter in and earns 23,000. That's 350,000 dollars a year, or a 3.2 million loss at 2025 rates. An MR costs 30,000 and earns 27,000, so it loses money. And at the end we own nothing. A newbuilding takes one and a half to three years to deliver, so it earns nothing in our twelve months, and we still pay instalments. That leaves secondhand. On the chart, our segments sit right around the new-ship price line. Suezmax is way above it, so we skip it.</w:t>
      </w:r>
    </w:p>
    <w:p>
      <w:pPr>
        <w:rPr>
          <w:rFonts w:hint="eastAsia"/>
        </w:rPr>
      </w:pPr>
    </w:p>
    <w:p>
      <w:pPr>
        <w:keepNext/>
        <w:spacing w:after="60"/>
        <w:rPr>
          <w:rFonts w:hint="eastAsia"/>
        </w:rPr>
      </w:pPr>
      <w:r>
        <w:rPr>
          <w:rFonts w:hint="eastAsia"/>
          <w:b/>
          <w:bCs/>
          <w:color w:val="1F3864"/>
          <w:sz w:val="21"/>
          <w:szCs w:val="21"/>
        </w:rPr>
        <w:t xml:space="preserve">Slide 6  Trades</w:t>
      </w:r>
      <w:r>
        <w:rPr>
          <w:rFonts w:hint="eastAsia"/>
          <w:color w:val="7F7F7F"/>
          <w:sz w:val="18"/>
          <w:szCs w:val="18"/>
        </w:rPr>
        <w:t xml:space="preserve">   about 116 words, 0:45</w:t>
      </w:r>
    </w:p>
    <w:p>
      <w:pPr>
        <w:spacing w:after="120"/>
        <w:rPr>
          <w:rFonts w:hint="eastAsia"/>
        </w:rPr>
      </w:pPr>
      <w:r>
        <w:rPr>
          <w:rFonts w:hint="eastAsia"/>
        </w:rPr>
        <w:t xml:space="preserve">So where do the ships go? MR number one is on a one-year time charter, so the charterer decides the route. MR number two trades clean products on spot, from Indian and Middle East refineries to Africa and Asia, and across the Atlantic. The Aframax is on a three-year charter, so its charterer picks the trades too. Kamsarmax number one is on a twelve-month charter, carrying Guinea bauxite or Pacific coal. It's the biggest ship Port Kamsar can take, hence the name Kamsarmax. Kamsarmax number two works the fourth-quarter grain season on spot, then moves to bauxite and coal. If the Baltic Dry Index stays under 2,000 for eight weeks, we fix it for a year.</w:t>
      </w:r>
    </w:p>
    <w:p>
      <w:pPr>
        <w:rPr>
          <w:rFonts w:hint="eastAsia"/>
        </w:rPr>
      </w:pPr>
    </w:p>
    <w:p>
      <w:pPr>
        <w:keepNext/>
        <w:spacing w:after="60"/>
        <w:rPr>
          <w:rFonts w:hint="eastAsia"/>
        </w:rPr>
      </w:pPr>
      <w:r>
        <w:rPr>
          <w:rFonts w:hint="eastAsia"/>
          <w:b/>
          <w:bCs/>
          <w:color w:val="1F3864"/>
          <w:sz w:val="21"/>
          <w:szCs w:val="21"/>
        </w:rPr>
        <w:t xml:space="preserve">Slide 7  Purchase prices</w:t>
      </w:r>
      <w:r>
        <w:rPr>
          <w:rFonts w:hint="eastAsia"/>
          <w:color w:val="7F7F7F"/>
          <w:sz w:val="18"/>
          <w:szCs w:val="18"/>
        </w:rPr>
        <w:t xml:space="preserve">   about 94 words, 0:40</w:t>
      </w:r>
    </w:p>
    <w:p>
      <w:pPr>
        <w:spacing w:after="120"/>
        <w:rPr>
          <w:rFonts w:hint="eastAsia"/>
        </w:rPr>
      </w:pPr>
      <w:r>
        <w:rPr>
          <w:rFonts w:hint="eastAsia"/>
        </w:rPr>
        <w:t xml:space="preserve">Part two: where every number comes from. First, purchase prices. Two sister Aframaxes, Southern Reverence and Pusaka Borneo, each sold for about 75 million this spring, so that price is solid. Our two Kamsarmaxes follow two Japan-built sales on 10 August: Aquavita Aim at 38 million and Medi Positano at 32 million. Presinge, a China-built sister, sold a day later for 29.25 million. That 2.75 million gap includes the US port-fee risk we avoid. For the MRs, there's no recent five-year-old sale with a public price, so we use the Clarksons assessment: 50 million.</w:t>
      </w:r>
    </w:p>
    <w:p>
      <w:pPr>
        <w:rPr>
          <w:rFonts w:hint="eastAsia"/>
        </w:rPr>
      </w:pPr>
    </w:p>
    <w:p>
      <w:pPr>
        <w:keepNext/>
        <w:spacing w:after="60"/>
        <w:rPr>
          <w:rFonts w:hint="eastAsia"/>
        </w:rPr>
      </w:pPr>
      <w:r>
        <w:rPr>
          <w:rFonts w:hint="eastAsia"/>
          <w:b/>
          <w:bCs/>
          <w:color w:val="1F3864"/>
          <w:sz w:val="21"/>
          <w:szCs w:val="21"/>
        </w:rPr>
        <w:t xml:space="preserve">Slide 8  Charter rates</w:t>
      </w:r>
      <w:r>
        <w:rPr>
          <w:rFonts w:hint="eastAsia"/>
          <w:color w:val="7F7F7F"/>
          <w:sz w:val="18"/>
          <w:szCs w:val="18"/>
        </w:rPr>
        <w:t xml:space="preserve">   about 119 words, 0:50</w:t>
      </w:r>
    </w:p>
    <w:p>
      <w:pPr>
        <w:spacing w:after="120"/>
        <w:rPr>
          <w:rFonts w:hint="eastAsia"/>
        </w:rPr>
      </w:pPr>
      <w:r>
        <w:rPr>
          <w:rFonts w:hint="eastAsia"/>
        </w:rPr>
        <w:t xml:space="preserve">Second, charter rates. Every base-case rate is a real fixture, a signed charter, from the four weeks before our data cut. PS Imabari went to Suncor, the Canadian oil company, for one year at 30,000: that's the benchmark for MR number one. Challenge Pollux went to ExxonMobil at 27,000, our stand-in for the spot MR. Torm Genesis went to AET, originally American Eagle Tankers, in Malaysia's Petronas group, for three years at 40,000. That ship is from 2011; ours is seven years younger. Intensity at 22,000 and XH Hope at 23,000 cover the Kamsarmaxes. In October the one-year MR rate jumped to 43,000. We still use the last deal, 30,000, so our MR numbers are on the safe side.</w:t>
      </w:r>
    </w:p>
    <w:p>
      <w:pPr>
        <w:rPr>
          <w:rFonts w:hint="eastAsia"/>
        </w:rPr>
      </w:pPr>
    </w:p>
    <w:p>
      <w:pPr>
        <w:keepNext/>
        <w:spacing w:after="60"/>
        <w:rPr>
          <w:rFonts w:hint="eastAsia"/>
        </w:rPr>
      </w:pPr>
      <w:r>
        <w:rPr>
          <w:rFonts w:hint="eastAsia"/>
          <w:b/>
          <w:bCs/>
          <w:color w:val="1F3864"/>
          <w:sz w:val="21"/>
          <w:szCs w:val="21"/>
        </w:rPr>
        <w:t xml:space="preserve">Slide 9  Freight rates</w:t>
      </w:r>
      <w:r>
        <w:rPr>
          <w:rFonts w:hint="eastAsia"/>
          <w:color w:val="7F7F7F"/>
          <w:sz w:val="18"/>
          <w:szCs w:val="18"/>
        </w:rPr>
        <w:t xml:space="preserve">   about 126 words, 0:50</w:t>
      </w:r>
    </w:p>
    <w:p>
      <w:pPr>
        <w:spacing w:after="120"/>
        <w:rPr>
          <w:rFonts w:hint="eastAsia"/>
        </w:rPr>
      </w:pPr>
      <w:r>
        <w:rPr>
          <w:rFonts w:hint="eastAsia"/>
        </w:rPr>
        <w:t xml:space="preserve">Third, freight rates. Our spot ships carry grain, coal and clean products. On 10 September a Kamsarmax was fixed to carry 80,000 tonnes of coal from Dalrymple Bay in Australia to Visakhapatnam in India, at 25.60 dollars a tonne. That works out to about 27,400 dollars a day, the time charter equivalent, above the 23,000 we assume. An MR took gasoline from the Baltic to the US Gulf at Worldscale 105. The two Suezmax rows are just context: crude at Worldscale 210 and 388 is the war-premium market we avoid. Our MR spot rate does carry some war premium, so our bad case uses 2025 averages. In total: sixteen real deals and one Clarksons assessment. Part three asks if demand and supply can hold these prices.</w:t>
      </w:r>
    </w:p>
    <w:p>
      <w:pPr>
        <w:rPr>
          <w:rFonts w:hint="eastAsia"/>
        </w:rPr>
      </w:pPr>
    </w:p>
    <w:p>
      <w:r>
        <w:br w:type="page"/>
      </w:r>
    </w:p>
    <w:p>
      <w:pPr>
        <w:keepNext/>
        <w:rPr>
          <w:rFonts w:hint="eastAsia"/>
        </w:rPr>
      </w:pPr>
      <w:r>
        <w:rPr>
          <w:rFonts w:hint="eastAsia"/>
          <w:b/>
          <w:bCs/>
          <w:sz w:val="28"/>
          <w:szCs w:val="28"/>
        </w:rPr>
        <w:t xml:space="preserve">Abbreviations and names  缩写与船型名称全称</w:t>
      </w:r>
    </w:p>
    <w:p>
      <w:pPr>
        <w:rPr>
          <w:rFonts w:hint="eastAsia"/>
        </w:rPr>
      </w:pPr>
      <w:r>
        <w:rPr>
          <w:rFonts w:hint="eastAsia"/>
          <w:color w:val="7F7F7F"/>
          <w:sz w:val="18"/>
          <w:szCs w:val="18"/>
        </w:rPr>
        <w:t xml:space="preserve">Total about 1041 words, about 6.9 minutes at 150 words a minute. Spoken text gives the full name; slides keep the short form.</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Pr>
      <w:tblGrid>
        <w:gridCol w:w="1450"/>
        <w:gridCol w:w="4200"/>
        <w:gridCol w:w="2126"/>
        <w:gridCol w:w="1250"/>
      </w:tblGrid>
      <w:tr>
        <w:trPr>
          <w:cantSplit/>
          <w:tblHeader/>
        </w:trPr>
        <w:tc>
          <w:tcPr>
            <w:tcW w:w="1450" w:type="dxa"/>
            <w:shd w:val="clear" w:color="auto" w:fill="D9E2F3"/>
          </w:tcPr>
          <w:p>
            <w:pPr>
              <w:spacing w:after="0" w:line="240" w:lineRule="auto"/>
              <w:rPr>
                <w:rFonts w:hint="eastAsia"/>
              </w:rPr>
            </w:pPr>
            <w:r>
              <w:rPr>
                <w:rFonts w:hint="eastAsia"/>
                <w:b/>
                <w:bCs/>
                <w:sz w:val="19"/>
                <w:szCs w:val="19"/>
              </w:rPr>
              <w:t xml:space="preserve">Short form</w:t>
            </w:r>
          </w:p>
        </w:tc>
        <w:tc>
          <w:tcPr>
            <w:tcW w:w="4200" w:type="dxa"/>
            <w:shd w:val="clear" w:color="auto" w:fill="D9E2F3"/>
          </w:tcPr>
          <w:p>
            <w:pPr>
              <w:spacing w:after="0" w:line="240" w:lineRule="auto"/>
              <w:rPr>
                <w:rFonts w:hint="eastAsia"/>
              </w:rPr>
            </w:pPr>
            <w:r>
              <w:rPr>
                <w:rFonts w:hint="eastAsia"/>
                <w:b/>
                <w:bCs/>
                <w:sz w:val="19"/>
                <w:szCs w:val="19"/>
              </w:rPr>
              <w:t xml:space="preserve">Full name</w:t>
            </w:r>
          </w:p>
        </w:tc>
        <w:tc>
          <w:tcPr>
            <w:tcW w:w="2126" w:type="dxa"/>
            <w:shd w:val="clear" w:color="auto" w:fill="D9E2F3"/>
          </w:tcPr>
          <w:p>
            <w:pPr>
              <w:spacing w:after="0" w:line="240" w:lineRule="auto"/>
              <w:rPr>
                <w:rFonts w:hint="eastAsia"/>
              </w:rPr>
            </w:pPr>
            <w:r>
              <w:rPr>
                <w:rFonts w:hint="eastAsia"/>
                <w:b/>
                <w:bCs/>
                <w:sz w:val="19"/>
                <w:szCs w:val="19"/>
              </w:rPr>
              <w:t xml:space="preserve">中文</w:t>
            </w:r>
          </w:p>
        </w:tc>
        <w:tc>
          <w:tcPr>
            <w:tcW w:w="1250" w:type="dxa"/>
            <w:shd w:val="clear" w:color="auto" w:fill="D9E2F3"/>
          </w:tcPr>
          <w:p>
            <w:pPr>
              <w:spacing w:after="0" w:line="240" w:lineRule="auto"/>
              <w:rPr>
                <w:rFonts w:hint="eastAsia"/>
              </w:rPr>
            </w:pPr>
            <w:r>
              <w:rPr>
                <w:rFonts w:hint="eastAsia"/>
                <w:b/>
                <w:bCs/>
                <w:sz w:val="19"/>
                <w:szCs w:val="19"/>
              </w:rPr>
              <w:t xml:space="preserve">Slides</w:t>
            </w:r>
          </w:p>
        </w:tc>
      </w:tr>
      <w:tr>
        <w:trPr>
          <w:cantSplit/>
        </w:trPr>
        <w:tc>
          <w:tcPr>
            <w:tcW w:w="1450" w:type="dxa"/>
          </w:tcPr>
          <w:p>
            <w:pPr>
              <w:spacing w:after="0" w:line="240" w:lineRule="auto"/>
              <w:rPr>
                <w:rFonts w:hint="eastAsia"/>
              </w:rPr>
            </w:pPr>
            <w:r>
              <w:rPr>
                <w:rFonts w:hint="eastAsia"/>
                <w:b/>
                <w:bCs/>
                <w:sz w:val="19"/>
                <w:szCs w:val="19"/>
              </w:rPr>
              <w:t xml:space="preserve">MR</w:t>
            </w:r>
          </w:p>
        </w:tc>
        <w:tc>
          <w:tcPr>
            <w:tcW w:w="4200" w:type="dxa"/>
          </w:tcPr>
          <w:p>
            <w:pPr>
              <w:spacing w:after="0" w:line="240" w:lineRule="auto"/>
              <w:rPr>
                <w:rFonts w:hint="eastAsia"/>
              </w:rPr>
            </w:pPr>
            <w:r>
              <w:rPr>
                <w:rFonts w:hint="eastAsia"/>
                <w:sz w:val="19"/>
                <w:szCs w:val="19"/>
              </w:rPr>
              <w:t xml:space="preserve">Medium Range (product tanker, about 45,000 to 55,000 dwt)</w:t>
            </w:r>
          </w:p>
        </w:tc>
        <w:tc>
          <w:tcPr>
            <w:tcW w:w="2126" w:type="dxa"/>
          </w:tcPr>
          <w:p>
            <w:pPr>
              <w:spacing w:after="0" w:line="240" w:lineRule="auto"/>
              <w:rPr>
                <w:rFonts w:hint="eastAsia"/>
              </w:rPr>
            </w:pPr>
            <w:r>
              <w:rPr>
                <w:rFonts w:hint="eastAsia"/>
                <w:sz w:val="19"/>
                <w:szCs w:val="19"/>
              </w:rPr>
              <w:t xml:space="preserve">中型成品油轮</w:t>
            </w:r>
          </w:p>
        </w:tc>
        <w:tc>
          <w:tcPr>
            <w:tcW w:w="1250" w:type="dxa"/>
          </w:tcPr>
          <w:p>
            <w:pPr>
              <w:spacing w:after="0" w:line="240" w:lineRule="auto"/>
              <w:rPr>
                <w:rFonts w:hint="eastAsia"/>
              </w:rPr>
            </w:pPr>
            <w:r>
              <w:rPr>
                <w:rFonts w:hint="eastAsia"/>
                <w:sz w:val="19"/>
                <w:szCs w:val="19"/>
              </w:rPr>
              <w:t xml:space="preserve">3 to 9</w:t>
            </w:r>
          </w:p>
        </w:tc>
      </w:tr>
      <w:tr>
        <w:trPr>
          <w:cantSplit/>
        </w:trPr>
        <w:tc>
          <w:tcPr>
            <w:tcW w:w="1450" w:type="dxa"/>
          </w:tcPr>
          <w:p>
            <w:pPr>
              <w:spacing w:after="0" w:line="240" w:lineRule="auto"/>
              <w:rPr>
                <w:rFonts w:hint="eastAsia"/>
              </w:rPr>
            </w:pPr>
            <w:r>
              <w:rPr>
                <w:rFonts w:hint="eastAsia"/>
                <w:b/>
                <w:bCs/>
                <w:sz w:val="19"/>
                <w:szCs w:val="19"/>
              </w:rPr>
              <w:t xml:space="preserve">dwt</w:t>
            </w:r>
          </w:p>
        </w:tc>
        <w:tc>
          <w:tcPr>
            <w:tcW w:w="4200" w:type="dxa"/>
          </w:tcPr>
          <w:p>
            <w:pPr>
              <w:spacing w:after="0" w:line="240" w:lineRule="auto"/>
              <w:rPr>
                <w:rFonts w:hint="eastAsia"/>
              </w:rPr>
            </w:pPr>
            <w:r>
              <w:rPr>
                <w:rFonts w:hint="eastAsia"/>
                <w:sz w:val="19"/>
                <w:szCs w:val="19"/>
              </w:rPr>
              <w:t xml:space="preserve">deadweight tonnes</w:t>
            </w:r>
          </w:p>
        </w:tc>
        <w:tc>
          <w:tcPr>
            <w:tcW w:w="2126" w:type="dxa"/>
          </w:tcPr>
          <w:p>
            <w:pPr>
              <w:spacing w:after="0" w:line="240" w:lineRule="auto"/>
              <w:rPr>
                <w:rFonts w:hint="eastAsia"/>
              </w:rPr>
            </w:pPr>
            <w:r>
              <w:rPr>
                <w:rFonts w:hint="eastAsia"/>
                <w:sz w:val="19"/>
                <w:szCs w:val="19"/>
              </w:rPr>
              <w:t xml:space="preserve">载重吨</w:t>
            </w:r>
          </w:p>
        </w:tc>
        <w:tc>
          <w:tcPr>
            <w:tcW w:w="1250" w:type="dxa"/>
          </w:tcPr>
          <w:p>
            <w:pPr>
              <w:spacing w:after="0" w:line="240" w:lineRule="auto"/>
              <w:rPr>
                <w:rFonts w:hint="eastAsia"/>
              </w:rPr>
            </w:pPr>
            <w:r>
              <w:rPr>
                <w:rFonts w:hint="eastAsia"/>
                <w:sz w:val="19"/>
                <w:szCs w:val="19"/>
              </w:rPr>
              <w:t xml:space="preserve">3 to 8</w:t>
            </w:r>
          </w:p>
        </w:tc>
      </w:tr>
      <w:tr>
        <w:trPr>
          <w:cantSplit/>
        </w:trPr>
        <w:tc>
          <w:tcPr>
            <w:tcW w:w="1450" w:type="dxa"/>
          </w:tcPr>
          <w:p>
            <w:pPr>
              <w:spacing w:after="0" w:line="240" w:lineRule="auto"/>
              <w:rPr>
                <w:rFonts w:hint="eastAsia"/>
              </w:rPr>
            </w:pPr>
            <w:r>
              <w:rPr>
                <w:rFonts w:hint="eastAsia"/>
                <w:b/>
                <w:bCs/>
                <w:sz w:val="19"/>
                <w:szCs w:val="19"/>
              </w:rPr>
              <w:t xml:space="preserve">TC</w:t>
            </w:r>
          </w:p>
        </w:tc>
        <w:tc>
          <w:tcPr>
            <w:tcW w:w="4200" w:type="dxa"/>
          </w:tcPr>
          <w:p>
            <w:pPr>
              <w:spacing w:after="0" w:line="240" w:lineRule="auto"/>
              <w:rPr>
                <w:rFonts w:hint="eastAsia"/>
              </w:rPr>
            </w:pPr>
            <w:r>
              <w:rPr>
                <w:rFonts w:hint="eastAsia"/>
                <w:sz w:val="19"/>
                <w:szCs w:val="19"/>
              </w:rPr>
              <w:t xml:space="preserve">time charter (1-yr TC = one-year time charter)</w:t>
            </w:r>
          </w:p>
        </w:tc>
        <w:tc>
          <w:tcPr>
            <w:tcW w:w="2126" w:type="dxa"/>
          </w:tcPr>
          <w:p>
            <w:pPr>
              <w:spacing w:after="0" w:line="240" w:lineRule="auto"/>
              <w:rPr>
                <w:rFonts w:hint="eastAsia"/>
              </w:rPr>
            </w:pPr>
            <w:r>
              <w:rPr>
                <w:rFonts w:hint="eastAsia"/>
                <w:sz w:val="19"/>
                <w:szCs w:val="19"/>
              </w:rPr>
              <w:t xml:space="preserve">期租</w:t>
            </w:r>
          </w:p>
        </w:tc>
        <w:tc>
          <w:tcPr>
            <w:tcW w:w="1250" w:type="dxa"/>
          </w:tcPr>
          <w:p>
            <w:pPr>
              <w:spacing w:after="0" w:line="240" w:lineRule="auto"/>
              <w:rPr>
                <w:rFonts w:hint="eastAsia"/>
              </w:rPr>
            </w:pPr>
            <w:r>
              <w:rPr>
                <w:rFonts w:hint="eastAsia"/>
                <w:sz w:val="19"/>
                <w:szCs w:val="19"/>
              </w:rPr>
              <w:t xml:space="preserve">3, 4, 6, 8</w:t>
            </w:r>
          </w:p>
        </w:tc>
      </w:tr>
      <w:tr>
        <w:trPr>
          <w:cantSplit/>
        </w:trPr>
        <w:tc>
          <w:tcPr>
            <w:tcW w:w="1450" w:type="dxa"/>
          </w:tcPr>
          <w:p>
            <w:pPr>
              <w:spacing w:after="0" w:line="240" w:lineRule="auto"/>
              <w:rPr>
                <w:rFonts w:hint="eastAsia"/>
              </w:rPr>
            </w:pPr>
            <w:r>
              <w:rPr>
                <w:rFonts w:hint="eastAsia"/>
                <w:b/>
                <w:bCs/>
                <w:sz w:val="19"/>
                <w:szCs w:val="19"/>
              </w:rPr>
              <w:t xml:space="preserve">OPEX</w:t>
            </w:r>
          </w:p>
        </w:tc>
        <w:tc>
          <w:tcPr>
            <w:tcW w:w="4200" w:type="dxa"/>
          </w:tcPr>
          <w:p>
            <w:pPr>
              <w:spacing w:after="0" w:line="240" w:lineRule="auto"/>
              <w:rPr>
                <w:rFonts w:hint="eastAsia"/>
              </w:rPr>
            </w:pPr>
            <w:r>
              <w:rPr>
                <w:rFonts w:hint="eastAsia"/>
                <w:sz w:val="19"/>
                <w:szCs w:val="19"/>
              </w:rPr>
              <w:t xml:space="preserve">operating expenses (crew, repairs, insurance, stores)</w:t>
            </w:r>
          </w:p>
        </w:tc>
        <w:tc>
          <w:tcPr>
            <w:tcW w:w="2126" w:type="dxa"/>
          </w:tcPr>
          <w:p>
            <w:pPr>
              <w:spacing w:after="0" w:line="240" w:lineRule="auto"/>
              <w:rPr>
                <w:rFonts w:hint="eastAsia"/>
              </w:rPr>
            </w:pPr>
            <w:r>
              <w:rPr>
                <w:rFonts w:hint="eastAsia"/>
                <w:sz w:val="19"/>
                <w:szCs w:val="19"/>
              </w:rPr>
              <w:t xml:space="preserve">营运成本</w:t>
            </w:r>
          </w:p>
        </w:tc>
        <w:tc>
          <w:tcPr>
            <w:tcW w:w="1250" w:type="dxa"/>
          </w:tcPr>
          <w:p>
            <w:pPr>
              <w:spacing w:after="0" w:line="240" w:lineRule="auto"/>
              <w:rPr>
                <w:rFonts w:hint="eastAsia"/>
              </w:rPr>
            </w:pPr>
            <w:r>
              <w:rPr>
                <w:rFonts w:hint="eastAsia"/>
                <w:sz w:val="19"/>
                <w:szCs w:val="19"/>
              </w:rPr>
              <w:t xml:space="preserve">1, 3</w:t>
            </w:r>
          </w:p>
        </w:tc>
      </w:tr>
      <w:tr>
        <w:trPr>
          <w:cantSplit/>
        </w:trPr>
        <w:tc>
          <w:tcPr>
            <w:tcW w:w="1450" w:type="dxa"/>
          </w:tcPr>
          <w:p>
            <w:pPr>
              <w:spacing w:after="0" w:line="240" w:lineRule="auto"/>
              <w:rPr>
                <w:rFonts w:hint="eastAsia"/>
              </w:rPr>
            </w:pPr>
            <w:r>
              <w:rPr>
                <w:rFonts w:hint="eastAsia"/>
                <w:b/>
                <w:bCs/>
                <w:sz w:val="19"/>
                <w:szCs w:val="19"/>
              </w:rPr>
              <w:t xml:space="preserve">USD</w:t>
            </w:r>
          </w:p>
        </w:tc>
        <w:tc>
          <w:tcPr>
            <w:tcW w:w="4200" w:type="dxa"/>
          </w:tcPr>
          <w:p>
            <w:pPr>
              <w:spacing w:after="0" w:line="240" w:lineRule="auto"/>
              <w:rPr>
                <w:rFonts w:hint="eastAsia"/>
              </w:rPr>
            </w:pPr>
            <w:r>
              <w:rPr>
                <w:rFonts w:hint="eastAsia"/>
                <w:sz w:val="19"/>
                <w:szCs w:val="19"/>
              </w:rPr>
              <w:t xml:space="preserve">US dollars</w:t>
            </w:r>
          </w:p>
        </w:tc>
        <w:tc>
          <w:tcPr>
            <w:tcW w:w="2126" w:type="dxa"/>
          </w:tcPr>
          <w:p>
            <w:pPr>
              <w:spacing w:after="0" w:line="240" w:lineRule="auto"/>
              <w:rPr>
                <w:rFonts w:hint="eastAsia"/>
              </w:rPr>
            </w:pPr>
            <w:r>
              <w:rPr>
                <w:rFonts w:hint="eastAsia"/>
                <w:sz w:val="19"/>
                <w:szCs w:val="19"/>
              </w:rPr>
              <w:t xml:space="preserve">美元</w:t>
            </w:r>
          </w:p>
        </w:tc>
        <w:tc>
          <w:tcPr>
            <w:tcW w:w="1250" w:type="dxa"/>
          </w:tcPr>
          <w:p>
            <w:pPr>
              <w:spacing w:after="0" w:line="240" w:lineRule="auto"/>
              <w:rPr>
                <w:rFonts w:hint="eastAsia"/>
              </w:rPr>
            </w:pPr>
            <w:r>
              <w:rPr>
                <w:rFonts w:hint="eastAsia"/>
                <w:sz w:val="19"/>
                <w:szCs w:val="19"/>
              </w:rPr>
              <w:t xml:space="preserve">1, 3, 4</w:t>
            </w:r>
          </w:p>
        </w:tc>
      </w:tr>
      <w:tr>
        <w:trPr>
          <w:cantSplit/>
        </w:trPr>
        <w:tc>
          <w:tcPr>
            <w:tcW w:w="1450" w:type="dxa"/>
          </w:tcPr>
          <w:p>
            <w:pPr>
              <w:spacing w:after="0" w:line="240" w:lineRule="auto"/>
              <w:rPr>
                <w:rFonts w:hint="eastAsia"/>
              </w:rPr>
            </w:pPr>
            <w:r>
              <w:rPr>
                <w:rFonts w:hint="eastAsia"/>
                <w:b/>
                <w:bCs/>
                <w:sz w:val="19"/>
                <w:szCs w:val="19"/>
              </w:rPr>
              <w:t xml:space="preserve">SIN</w:t>
            </w:r>
          </w:p>
        </w:tc>
        <w:tc>
          <w:tcPr>
            <w:tcW w:w="4200" w:type="dxa"/>
          </w:tcPr>
          <w:p>
            <w:pPr>
              <w:spacing w:after="0" w:line="240" w:lineRule="auto"/>
              <w:rPr>
                <w:rFonts w:hint="eastAsia"/>
              </w:rPr>
            </w:pPr>
            <w:r>
              <w:rPr>
                <w:rFonts w:hint="eastAsia"/>
                <w:sz w:val="19"/>
                <w:szCs w:val="19"/>
              </w:rPr>
              <w:t xml:space="preserve">Clarksons Shipping Intelligence Network</w:t>
            </w:r>
          </w:p>
        </w:tc>
        <w:tc>
          <w:tcPr>
            <w:tcW w:w="2126" w:type="dxa"/>
          </w:tcPr>
          <w:p>
            <w:pPr>
              <w:spacing w:after="0" w:line="240" w:lineRule="auto"/>
              <w:rPr>
                <w:rFonts w:hint="eastAsia"/>
              </w:rPr>
            </w:pPr>
            <w:r>
              <w:rPr>
                <w:rFonts w:hint="eastAsia"/>
                <w:sz w:val="19"/>
                <w:szCs w:val="19"/>
              </w:rPr>
              <w:t xml:space="preserve">克拉克森航运数据库</w:t>
            </w:r>
          </w:p>
        </w:tc>
        <w:tc>
          <w:tcPr>
            <w:tcW w:w="1250" w:type="dxa"/>
          </w:tcPr>
          <w:p>
            <w:pPr>
              <w:spacing w:after="0" w:line="240" w:lineRule="auto"/>
              <w:rPr>
                <w:rFonts w:hint="eastAsia"/>
              </w:rPr>
            </w:pPr>
            <w:r>
              <w:rPr>
                <w:rFonts w:hint="eastAsia"/>
                <w:sz w:val="19"/>
                <w:szCs w:val="19"/>
              </w:rPr>
              <w:t xml:space="preserve">1, 2, 4 to 9</w:t>
            </w:r>
          </w:p>
        </w:tc>
      </w:tr>
      <w:tr>
        <w:trPr>
          <w:cantSplit/>
        </w:trPr>
        <w:tc>
          <w:tcPr>
            <w:tcW w:w="1450" w:type="dxa"/>
          </w:tcPr>
          <w:p>
            <w:pPr>
              <w:spacing w:after="0" w:line="240" w:lineRule="auto"/>
              <w:rPr>
                <w:rFonts w:hint="eastAsia"/>
              </w:rPr>
            </w:pPr>
            <w:r>
              <w:rPr>
                <w:rFonts w:hint="eastAsia"/>
                <w:b/>
                <w:bCs/>
                <w:sz w:val="19"/>
                <w:szCs w:val="19"/>
              </w:rPr>
              <w:t xml:space="preserve">S&amp;P</w:t>
            </w:r>
          </w:p>
        </w:tc>
        <w:tc>
          <w:tcPr>
            <w:tcW w:w="4200" w:type="dxa"/>
          </w:tcPr>
          <w:p>
            <w:pPr>
              <w:spacing w:after="0" w:line="240" w:lineRule="auto"/>
              <w:rPr>
                <w:rFonts w:hint="eastAsia"/>
              </w:rPr>
            </w:pPr>
            <w:r>
              <w:rPr>
                <w:rFonts w:hint="eastAsia"/>
                <w:sz w:val="19"/>
                <w:szCs w:val="19"/>
              </w:rPr>
              <w:t xml:space="preserve">sale and purchase (secondhand ship sales)</w:t>
            </w:r>
          </w:p>
        </w:tc>
        <w:tc>
          <w:tcPr>
            <w:tcW w:w="2126" w:type="dxa"/>
          </w:tcPr>
          <w:p>
            <w:pPr>
              <w:spacing w:after="0" w:line="240" w:lineRule="auto"/>
              <w:rPr>
                <w:rFonts w:hint="eastAsia"/>
              </w:rPr>
            </w:pPr>
            <w:r>
              <w:rPr>
                <w:rFonts w:hint="eastAsia"/>
                <w:sz w:val="19"/>
                <w:szCs w:val="19"/>
              </w:rPr>
              <w:t xml:space="preserve">二手船买卖</w:t>
            </w:r>
          </w:p>
        </w:tc>
        <w:tc>
          <w:tcPr>
            <w:tcW w:w="1250" w:type="dxa"/>
          </w:tcPr>
          <w:p>
            <w:pPr>
              <w:spacing w:after="0" w:line="240" w:lineRule="auto"/>
              <w:rPr>
                <w:rFonts w:hint="eastAsia"/>
              </w:rPr>
            </w:pPr>
            <w:r>
              <w:rPr>
                <w:rFonts w:hint="eastAsia"/>
                <w:sz w:val="19"/>
                <w:szCs w:val="19"/>
              </w:rPr>
              <w:t xml:space="preserve">4, 7</w:t>
            </w:r>
          </w:p>
        </w:tc>
      </w:tr>
      <w:tr>
        <w:trPr>
          <w:cantSplit/>
        </w:trPr>
        <w:tc>
          <w:tcPr>
            <w:tcW w:w="1450" w:type="dxa"/>
          </w:tcPr>
          <w:p>
            <w:pPr>
              <w:spacing w:after="0" w:line="240" w:lineRule="auto"/>
              <w:rPr>
                <w:rFonts w:hint="eastAsia"/>
              </w:rPr>
            </w:pPr>
            <w:r>
              <w:rPr>
                <w:rFonts w:hint="eastAsia"/>
                <w:b/>
                <w:bCs/>
                <w:sz w:val="19"/>
                <w:szCs w:val="19"/>
              </w:rPr>
              <w:t xml:space="preserve">Eco</w:t>
            </w:r>
          </w:p>
        </w:tc>
        <w:tc>
          <w:tcPr>
            <w:tcW w:w="4200" w:type="dxa"/>
          </w:tcPr>
          <w:p>
            <w:pPr>
              <w:spacing w:after="0" w:line="240" w:lineRule="auto"/>
              <w:rPr>
                <w:rFonts w:hint="eastAsia"/>
              </w:rPr>
            </w:pPr>
            <w:r>
              <w:rPr>
                <w:rFonts w:hint="eastAsia"/>
                <w:sz w:val="19"/>
                <w:szCs w:val="19"/>
              </w:rPr>
              <w:t xml:space="preserve">eco-design ship (fuel-efficient, electronic engine)</w:t>
            </w:r>
          </w:p>
        </w:tc>
        <w:tc>
          <w:tcPr>
            <w:tcW w:w="2126" w:type="dxa"/>
          </w:tcPr>
          <w:p>
            <w:pPr>
              <w:spacing w:after="0" w:line="240" w:lineRule="auto"/>
              <w:rPr>
                <w:rFonts w:hint="eastAsia"/>
              </w:rPr>
            </w:pPr>
            <w:r>
              <w:rPr>
                <w:rFonts w:hint="eastAsia"/>
                <w:sz w:val="19"/>
                <w:szCs w:val="19"/>
              </w:rPr>
              <w:t xml:space="preserve">节能型船</w:t>
            </w:r>
          </w:p>
        </w:tc>
        <w:tc>
          <w:tcPr>
            <w:tcW w:w="1250" w:type="dxa"/>
          </w:tcPr>
          <w:p>
            <w:pPr>
              <w:spacing w:after="0" w:line="240" w:lineRule="auto"/>
              <w:rPr>
                <w:rFonts w:hint="eastAsia"/>
              </w:rPr>
            </w:pPr>
            <w:r>
              <w:rPr>
                <w:rFonts w:hint="eastAsia"/>
                <w:sz w:val="19"/>
                <w:szCs w:val="19"/>
              </w:rPr>
              <w:t xml:space="preserve">3 to 5</w:t>
            </w:r>
          </w:p>
        </w:tc>
      </w:tr>
      <w:tr>
        <w:trPr>
          <w:cantSplit/>
        </w:trPr>
        <w:tc>
          <w:tcPr>
            <w:tcW w:w="1450" w:type="dxa"/>
          </w:tcPr>
          <w:p>
            <w:pPr>
              <w:spacing w:after="0" w:line="240" w:lineRule="auto"/>
              <w:rPr>
                <w:rFonts w:hint="eastAsia"/>
              </w:rPr>
            </w:pPr>
            <w:r>
              <w:rPr>
                <w:rFonts w:hint="eastAsia"/>
                <w:b/>
                <w:bCs/>
                <w:sz w:val="19"/>
                <w:szCs w:val="19"/>
              </w:rPr>
              <w:t xml:space="preserve">BDI</w:t>
            </w:r>
          </w:p>
        </w:tc>
        <w:tc>
          <w:tcPr>
            <w:tcW w:w="4200" w:type="dxa"/>
          </w:tcPr>
          <w:p>
            <w:pPr>
              <w:spacing w:after="0" w:line="240" w:lineRule="auto"/>
              <w:rPr>
                <w:rFonts w:hint="eastAsia"/>
              </w:rPr>
            </w:pPr>
            <w:r>
              <w:rPr>
                <w:rFonts w:hint="eastAsia"/>
                <w:sz w:val="19"/>
                <w:szCs w:val="19"/>
              </w:rPr>
              <w:t xml:space="preserve">Baltic Dry Index</w:t>
            </w:r>
          </w:p>
        </w:tc>
        <w:tc>
          <w:tcPr>
            <w:tcW w:w="2126" w:type="dxa"/>
          </w:tcPr>
          <w:p>
            <w:pPr>
              <w:spacing w:after="0" w:line="240" w:lineRule="auto"/>
              <w:rPr>
                <w:rFonts w:hint="eastAsia"/>
              </w:rPr>
            </w:pPr>
            <w:r>
              <w:rPr>
                <w:rFonts w:hint="eastAsia"/>
                <w:sz w:val="19"/>
                <w:szCs w:val="19"/>
              </w:rPr>
              <w:t xml:space="preserve">波罗的海干散货指数</w:t>
            </w:r>
          </w:p>
        </w:tc>
        <w:tc>
          <w:tcPr>
            <w:tcW w:w="1250" w:type="dxa"/>
          </w:tcPr>
          <w:p>
            <w:pPr>
              <w:spacing w:after="0" w:line="240" w:lineRule="auto"/>
              <w:rPr>
                <w:rFonts w:hint="eastAsia"/>
              </w:rPr>
            </w:pPr>
            <w:r>
              <w:rPr>
                <w:rFonts w:hint="eastAsia"/>
                <w:sz w:val="19"/>
                <w:szCs w:val="19"/>
              </w:rPr>
              <w:t xml:space="preserve">3, 6</w:t>
            </w:r>
          </w:p>
        </w:tc>
      </w:tr>
      <w:tr>
        <w:trPr>
          <w:cantSplit/>
        </w:trPr>
        <w:tc>
          <w:tcPr>
            <w:tcW w:w="1450" w:type="dxa"/>
          </w:tcPr>
          <w:p>
            <w:pPr>
              <w:spacing w:after="0" w:line="240" w:lineRule="auto"/>
              <w:rPr>
                <w:rFonts w:hint="eastAsia"/>
              </w:rPr>
            </w:pPr>
            <w:r>
              <w:rPr>
                <w:rFonts w:hint="eastAsia"/>
                <w:b/>
                <w:bCs/>
                <w:sz w:val="19"/>
                <w:szCs w:val="19"/>
              </w:rPr>
              <w:t xml:space="preserve">y/y</w:t>
            </w:r>
          </w:p>
        </w:tc>
        <w:tc>
          <w:tcPr>
            <w:tcW w:w="4200" w:type="dxa"/>
          </w:tcPr>
          <w:p>
            <w:pPr>
              <w:spacing w:after="0" w:line="240" w:lineRule="auto"/>
              <w:rPr>
                <w:rFonts w:hint="eastAsia"/>
              </w:rPr>
            </w:pPr>
            <w:r>
              <w:rPr>
                <w:rFonts w:hint="eastAsia"/>
                <w:sz w:val="19"/>
                <w:szCs w:val="19"/>
              </w:rPr>
              <w:t xml:space="preserve">year on year</w:t>
            </w:r>
          </w:p>
        </w:tc>
        <w:tc>
          <w:tcPr>
            <w:tcW w:w="2126" w:type="dxa"/>
          </w:tcPr>
          <w:p>
            <w:pPr>
              <w:spacing w:after="0" w:line="240" w:lineRule="auto"/>
              <w:rPr>
                <w:rFonts w:hint="eastAsia"/>
              </w:rPr>
            </w:pPr>
            <w:r>
              <w:rPr>
                <w:rFonts w:hint="eastAsia"/>
                <w:sz w:val="19"/>
                <w:szCs w:val="19"/>
              </w:rPr>
              <w:t xml:space="preserve">同比</w:t>
            </w:r>
          </w:p>
        </w:tc>
        <w:tc>
          <w:tcPr>
            <w:tcW w:w="1250" w:type="dxa"/>
          </w:tcPr>
          <w:p>
            <w:pPr>
              <w:spacing w:after="0" w:line="240" w:lineRule="auto"/>
              <w:rPr>
                <w:rFonts w:hint="eastAsia"/>
              </w:rPr>
            </w:pPr>
            <w:r>
              <w:rPr>
                <w:rFonts w:hint="eastAsia"/>
                <w:sz w:val="19"/>
                <w:szCs w:val="19"/>
              </w:rPr>
              <w:t xml:space="preserve">3, 6</w:t>
            </w:r>
          </w:p>
        </w:tc>
      </w:tr>
      <w:tr>
        <w:trPr>
          <w:cantSplit/>
        </w:trPr>
        <w:tc>
          <w:tcPr>
            <w:tcW w:w="1450" w:type="dxa"/>
          </w:tcPr>
          <w:p>
            <w:pPr>
              <w:spacing w:after="0" w:line="240" w:lineRule="auto"/>
              <w:rPr>
                <w:rFonts w:hint="eastAsia"/>
              </w:rPr>
            </w:pPr>
            <w:r>
              <w:rPr>
                <w:rFonts w:hint="eastAsia"/>
                <w:b/>
                <w:bCs/>
                <w:sz w:val="19"/>
                <w:szCs w:val="19"/>
              </w:rPr>
              <w:t xml:space="preserve">2027F</w:t>
            </w:r>
          </w:p>
        </w:tc>
        <w:tc>
          <w:tcPr>
            <w:tcW w:w="4200" w:type="dxa"/>
          </w:tcPr>
          <w:p>
            <w:pPr>
              <w:spacing w:after="0" w:line="240" w:lineRule="auto"/>
              <w:rPr>
                <w:rFonts w:hint="eastAsia"/>
              </w:rPr>
            </w:pPr>
            <w:r>
              <w:rPr>
                <w:rFonts w:hint="eastAsia"/>
                <w:sz w:val="19"/>
                <w:szCs w:val="19"/>
              </w:rPr>
              <w:t xml:space="preserve">2027 forecast</w:t>
            </w:r>
          </w:p>
        </w:tc>
        <w:tc>
          <w:tcPr>
            <w:tcW w:w="2126" w:type="dxa"/>
          </w:tcPr>
          <w:p>
            <w:pPr>
              <w:spacing w:after="0" w:line="240" w:lineRule="auto"/>
              <w:rPr>
                <w:rFonts w:hint="eastAsia"/>
              </w:rPr>
            </w:pPr>
            <w:r>
              <w:rPr>
                <w:rFonts w:hint="eastAsia"/>
                <w:sz w:val="19"/>
                <w:szCs w:val="19"/>
              </w:rPr>
              <w:t xml:space="preserve">2027 年预测值</w:t>
            </w:r>
          </w:p>
        </w:tc>
        <w:tc>
          <w:tcPr>
            <w:tcW w:w="1250" w:type="dxa"/>
          </w:tcPr>
          <w:p>
            <w:pPr>
              <w:spacing w:after="0" w:line="240" w:lineRule="auto"/>
              <w:rPr>
                <w:rFonts w:hint="eastAsia"/>
              </w:rPr>
            </w:pPr>
            <w:r>
              <w:rPr>
                <w:rFonts w:hint="eastAsia"/>
                <w:sz w:val="19"/>
                <w:szCs w:val="19"/>
              </w:rPr>
              <w:t xml:space="preserve">3, 6</w:t>
            </w:r>
          </w:p>
        </w:tc>
      </w:tr>
      <w:tr>
        <w:trPr>
          <w:cantSplit/>
        </w:trPr>
        <w:tc>
          <w:tcPr>
            <w:tcW w:w="1450" w:type="dxa"/>
          </w:tcPr>
          <w:p>
            <w:pPr>
              <w:spacing w:after="0" w:line="240" w:lineRule="auto"/>
              <w:rPr>
                <w:rFonts w:hint="eastAsia"/>
              </w:rPr>
            </w:pPr>
            <w:r>
              <w:rPr>
                <w:rFonts w:hint="eastAsia"/>
                <w:b/>
                <w:bCs/>
                <w:sz w:val="19"/>
                <w:szCs w:val="19"/>
              </w:rPr>
              <w:t xml:space="preserve">Q4</w:t>
            </w:r>
          </w:p>
        </w:tc>
        <w:tc>
          <w:tcPr>
            <w:tcW w:w="4200" w:type="dxa"/>
          </w:tcPr>
          <w:p>
            <w:pPr>
              <w:spacing w:after="0" w:line="240" w:lineRule="auto"/>
              <w:rPr>
                <w:rFonts w:hint="eastAsia"/>
              </w:rPr>
            </w:pPr>
            <w:r>
              <w:rPr>
                <w:rFonts w:hint="eastAsia"/>
                <w:sz w:val="19"/>
                <w:szCs w:val="19"/>
              </w:rPr>
              <w:t xml:space="preserve">fourth quarter</w:t>
            </w:r>
          </w:p>
        </w:tc>
        <w:tc>
          <w:tcPr>
            <w:tcW w:w="2126" w:type="dxa"/>
          </w:tcPr>
          <w:p>
            <w:pPr>
              <w:spacing w:after="0" w:line="240" w:lineRule="auto"/>
              <w:rPr>
                <w:rFonts w:hint="eastAsia"/>
              </w:rPr>
            </w:pPr>
            <w:r>
              <w:rPr>
                <w:rFonts w:hint="eastAsia"/>
                <w:sz w:val="19"/>
                <w:szCs w:val="19"/>
              </w:rPr>
              <w:t xml:space="preserve">第四季度</w:t>
            </w:r>
          </w:p>
        </w:tc>
        <w:tc>
          <w:tcPr>
            <w:tcW w:w="1250" w:type="dxa"/>
          </w:tcPr>
          <w:p>
            <w:pPr>
              <w:spacing w:after="0" w:line="240" w:lineRule="auto"/>
              <w:rPr>
                <w:rFonts w:hint="eastAsia"/>
              </w:rPr>
            </w:pPr>
            <w:r>
              <w:rPr>
                <w:rFonts w:hint="eastAsia"/>
                <w:sz w:val="19"/>
                <w:szCs w:val="19"/>
              </w:rPr>
              <w:t xml:space="preserve">3, 6</w:t>
            </w:r>
          </w:p>
        </w:tc>
      </w:tr>
      <w:tr>
        <w:trPr>
          <w:cantSplit/>
        </w:trPr>
        <w:tc>
          <w:tcPr>
            <w:tcW w:w="1450" w:type="dxa"/>
          </w:tcPr>
          <w:p>
            <w:pPr>
              <w:spacing w:after="0" w:line="240" w:lineRule="auto"/>
              <w:rPr>
                <w:rFonts w:hint="eastAsia"/>
              </w:rPr>
            </w:pPr>
            <w:r>
              <w:rPr>
                <w:rFonts w:hint="eastAsia"/>
                <w:b/>
                <w:bCs/>
                <w:sz w:val="19"/>
                <w:szCs w:val="19"/>
              </w:rPr>
              <w:t xml:space="preserve">AET</w:t>
            </w:r>
          </w:p>
        </w:tc>
        <w:tc>
          <w:tcPr>
            <w:tcW w:w="4200" w:type="dxa"/>
          </w:tcPr>
          <w:p>
            <w:pPr>
              <w:spacing w:after="0" w:line="240" w:lineRule="auto"/>
              <w:rPr>
                <w:rFonts w:hint="eastAsia"/>
              </w:rPr>
            </w:pPr>
            <w:r>
              <w:rPr>
                <w:rFonts w:hint="eastAsia"/>
                <w:sz w:val="19"/>
                <w:szCs w:val="19"/>
              </w:rPr>
              <w:t xml:space="preserve">AET Tankers, originally American Eagle Tankers; owned by MISC, Petronas group</w:t>
            </w:r>
          </w:p>
        </w:tc>
        <w:tc>
          <w:tcPr>
            <w:tcW w:w="2126" w:type="dxa"/>
          </w:tcPr>
          <w:p>
            <w:pPr>
              <w:spacing w:after="0" w:line="240" w:lineRule="auto"/>
              <w:rPr>
                <w:rFonts w:hint="eastAsia"/>
              </w:rPr>
            </w:pPr>
            <w:r>
              <w:rPr>
                <w:rFonts w:hint="eastAsia"/>
                <w:sz w:val="19"/>
                <w:szCs w:val="19"/>
              </w:rPr>
              <w:t xml:space="preserve">马来西亚国油旗下油轮公司</w:t>
            </w:r>
          </w:p>
        </w:tc>
        <w:tc>
          <w:tcPr>
            <w:tcW w:w="1250" w:type="dxa"/>
          </w:tcPr>
          <w:p>
            <w:pPr>
              <w:spacing w:after="0" w:line="240" w:lineRule="auto"/>
              <w:rPr>
                <w:rFonts w:hint="eastAsia"/>
              </w:rPr>
            </w:pPr>
            <w:r>
              <w:rPr>
                <w:rFonts w:hint="eastAsia"/>
                <w:sz w:val="19"/>
                <w:szCs w:val="19"/>
              </w:rPr>
              <w:t xml:space="preserve">3, 8</w:t>
            </w:r>
          </w:p>
        </w:tc>
      </w:tr>
      <w:tr>
        <w:trPr>
          <w:cantSplit/>
        </w:trPr>
        <w:tc>
          <w:tcPr>
            <w:tcW w:w="1450" w:type="dxa"/>
          </w:tcPr>
          <w:p>
            <w:pPr>
              <w:spacing w:after="0" w:line="240" w:lineRule="auto"/>
              <w:rPr>
                <w:rFonts w:hint="eastAsia"/>
              </w:rPr>
            </w:pPr>
            <w:r>
              <w:rPr>
                <w:rFonts w:hint="eastAsia"/>
                <w:b/>
                <w:bCs/>
                <w:sz w:val="19"/>
                <w:szCs w:val="19"/>
              </w:rPr>
              <w:t xml:space="preserve">MISC</w:t>
            </w:r>
          </w:p>
        </w:tc>
        <w:tc>
          <w:tcPr>
            <w:tcW w:w="4200" w:type="dxa"/>
          </w:tcPr>
          <w:p>
            <w:pPr>
              <w:spacing w:after="0" w:line="240" w:lineRule="auto"/>
              <w:rPr>
                <w:rFonts w:hint="eastAsia"/>
              </w:rPr>
            </w:pPr>
            <w:r>
              <w:rPr>
                <w:rFonts w:hint="eastAsia"/>
                <w:sz w:val="19"/>
                <w:szCs w:val="19"/>
              </w:rPr>
              <w:t xml:space="preserve">Malaysia International Shipping Corporation (AET's parent)</w:t>
            </w:r>
          </w:p>
        </w:tc>
        <w:tc>
          <w:tcPr>
            <w:tcW w:w="2126" w:type="dxa"/>
          </w:tcPr>
          <w:p>
            <w:pPr>
              <w:spacing w:after="0" w:line="240" w:lineRule="auto"/>
              <w:rPr>
                <w:rFonts w:hint="eastAsia"/>
              </w:rPr>
            </w:pPr>
            <w:r>
              <w:rPr>
                <w:rFonts w:hint="eastAsia"/>
                <w:sz w:val="19"/>
                <w:szCs w:val="19"/>
              </w:rPr>
              <w:t xml:space="preserve">马来西亚国际航运公司</w:t>
            </w:r>
          </w:p>
        </w:tc>
        <w:tc>
          <w:tcPr>
            <w:tcW w:w="1250" w:type="dxa"/>
          </w:tcPr>
          <w:p>
            <w:pPr>
              <w:spacing w:after="0" w:line="240" w:lineRule="auto"/>
              <w:rPr>
                <w:rFonts w:hint="eastAsia"/>
              </w:rPr>
            </w:pPr>
            <w:r>
              <w:rPr>
                <w:rFonts w:hint="eastAsia"/>
                <w:sz w:val="19"/>
                <w:szCs w:val="19"/>
              </w:rPr>
              <w:t xml:space="preserve">8</w:t>
            </w:r>
          </w:p>
        </w:tc>
      </w:tr>
      <w:tr>
        <w:trPr>
          <w:cantSplit/>
        </w:trPr>
        <w:tc>
          <w:tcPr>
            <w:tcW w:w="1450" w:type="dxa"/>
          </w:tcPr>
          <w:p>
            <w:pPr>
              <w:spacing w:after="0" w:line="240" w:lineRule="auto"/>
              <w:rPr>
                <w:rFonts w:hint="eastAsia"/>
              </w:rPr>
            </w:pPr>
            <w:r>
              <w:rPr>
                <w:rFonts w:hint="eastAsia"/>
                <w:b/>
                <w:bCs/>
                <w:sz w:val="19"/>
                <w:szCs w:val="19"/>
              </w:rPr>
              <w:t xml:space="preserve">CNR</w:t>
            </w:r>
          </w:p>
        </w:tc>
        <w:tc>
          <w:tcPr>
            <w:tcW w:w="4200" w:type="dxa"/>
          </w:tcPr>
          <w:p>
            <w:pPr>
              <w:spacing w:after="0" w:line="240" w:lineRule="auto"/>
              <w:rPr>
                <w:rFonts w:hint="eastAsia"/>
              </w:rPr>
            </w:pPr>
            <w:r>
              <w:rPr>
                <w:rFonts w:hint="eastAsia"/>
                <w:sz w:val="19"/>
                <w:szCs w:val="19"/>
              </w:rPr>
              <w:t xml:space="preserve">charterer not reported</w:t>
            </w:r>
          </w:p>
        </w:tc>
        <w:tc>
          <w:tcPr>
            <w:tcW w:w="2126" w:type="dxa"/>
          </w:tcPr>
          <w:p>
            <w:pPr>
              <w:spacing w:after="0" w:line="240" w:lineRule="auto"/>
              <w:rPr>
                <w:rFonts w:hint="eastAsia"/>
              </w:rPr>
            </w:pPr>
            <w:r>
              <w:rPr>
                <w:rFonts w:hint="eastAsia"/>
                <w:sz w:val="19"/>
                <w:szCs w:val="19"/>
              </w:rPr>
              <w:t xml:space="preserve">租家未披露</w:t>
            </w:r>
          </w:p>
        </w:tc>
        <w:tc>
          <w:tcPr>
            <w:tcW w:w="1250" w:type="dxa"/>
          </w:tcPr>
          <w:p>
            <w:pPr>
              <w:spacing w:after="0" w:line="240" w:lineRule="auto"/>
              <w:rPr>
                <w:rFonts w:hint="eastAsia"/>
              </w:rPr>
            </w:pPr>
            <w:r>
              <w:rPr>
                <w:rFonts w:hint="eastAsia"/>
                <w:sz w:val="19"/>
                <w:szCs w:val="19"/>
              </w:rPr>
              <w:t xml:space="preserve">3, 8</w:t>
            </w:r>
          </w:p>
        </w:tc>
      </w:tr>
      <w:tr>
        <w:trPr>
          <w:cantSplit/>
        </w:trPr>
        <w:tc>
          <w:tcPr>
            <w:tcW w:w="1450" w:type="dxa"/>
          </w:tcPr>
          <w:p>
            <w:pPr>
              <w:spacing w:after="0" w:line="240" w:lineRule="auto"/>
              <w:rPr>
                <w:rFonts w:hint="eastAsia"/>
              </w:rPr>
            </w:pPr>
            <w:r>
              <w:rPr>
                <w:rFonts w:hint="eastAsia"/>
                <w:b/>
                <w:bCs/>
                <w:sz w:val="19"/>
                <w:szCs w:val="19"/>
              </w:rPr>
              <w:t xml:space="preserve">LR2</w:t>
            </w:r>
          </w:p>
        </w:tc>
        <w:tc>
          <w:tcPr>
            <w:tcW w:w="4200" w:type="dxa"/>
          </w:tcPr>
          <w:p>
            <w:pPr>
              <w:spacing w:after="0" w:line="240" w:lineRule="auto"/>
              <w:rPr>
                <w:rFonts w:hint="eastAsia"/>
              </w:rPr>
            </w:pPr>
            <w:r>
              <w:rPr>
                <w:rFonts w:hint="eastAsia"/>
                <w:sz w:val="19"/>
                <w:szCs w:val="19"/>
              </w:rPr>
              <w:t xml:space="preserve">Long Range 2 (product tanker, about 80,000 to 160,000 dwt; can also carry crude)</w:t>
            </w:r>
          </w:p>
        </w:tc>
        <w:tc>
          <w:tcPr>
            <w:tcW w:w="2126" w:type="dxa"/>
          </w:tcPr>
          <w:p>
            <w:pPr>
              <w:spacing w:after="0" w:line="240" w:lineRule="auto"/>
              <w:rPr>
                <w:rFonts w:hint="eastAsia"/>
              </w:rPr>
            </w:pPr>
            <w:r>
              <w:rPr>
                <w:rFonts w:hint="eastAsia"/>
                <w:sz w:val="19"/>
                <w:szCs w:val="19"/>
              </w:rPr>
              <w:t xml:space="preserve">二型长程成品油轮</w:t>
            </w:r>
          </w:p>
        </w:tc>
        <w:tc>
          <w:tcPr>
            <w:tcW w:w="1250" w:type="dxa"/>
          </w:tcPr>
          <w:p>
            <w:pPr>
              <w:spacing w:after="0" w:line="240" w:lineRule="auto"/>
              <w:rPr>
                <w:rFonts w:hint="eastAsia"/>
              </w:rPr>
            </w:pPr>
            <w:r>
              <w:rPr>
                <w:rFonts w:hint="eastAsia"/>
                <w:sz w:val="19"/>
                <w:szCs w:val="19"/>
              </w:rPr>
              <w:t xml:space="preserve">6</w:t>
            </w:r>
          </w:p>
        </w:tc>
      </w:tr>
      <w:tr>
        <w:trPr>
          <w:cantSplit/>
        </w:trPr>
        <w:tc>
          <w:tcPr>
            <w:tcW w:w="1450" w:type="dxa"/>
          </w:tcPr>
          <w:p>
            <w:pPr>
              <w:spacing w:after="0" w:line="240" w:lineRule="auto"/>
              <w:rPr>
                <w:rFonts w:hint="eastAsia"/>
              </w:rPr>
            </w:pPr>
            <w:r>
              <w:rPr>
                <w:rFonts w:hint="eastAsia"/>
                <w:b/>
                <w:bCs/>
                <w:sz w:val="19"/>
                <w:szCs w:val="19"/>
              </w:rPr>
              <w:t xml:space="preserve">Section 301</w:t>
            </w:r>
          </w:p>
        </w:tc>
        <w:tc>
          <w:tcPr>
            <w:tcW w:w="4200" w:type="dxa"/>
          </w:tcPr>
          <w:p>
            <w:pPr>
              <w:spacing w:after="0" w:line="240" w:lineRule="auto"/>
              <w:rPr>
                <w:rFonts w:hint="eastAsia"/>
              </w:rPr>
            </w:pPr>
            <w:r>
              <w:rPr>
                <w:rFonts w:hint="eastAsia"/>
                <w:sz w:val="19"/>
                <w:szCs w:val="19"/>
              </w:rPr>
              <w:t xml:space="preserve">Section 301 of the US Trade Act of 1974 (US port fees on Chinese-built or Chinese-owned ships)</w:t>
            </w:r>
          </w:p>
        </w:tc>
        <w:tc>
          <w:tcPr>
            <w:tcW w:w="2126" w:type="dxa"/>
          </w:tcPr>
          <w:p>
            <w:pPr>
              <w:spacing w:after="0" w:line="240" w:lineRule="auto"/>
              <w:rPr>
                <w:rFonts w:hint="eastAsia"/>
              </w:rPr>
            </w:pPr>
            <w:r>
              <w:rPr>
                <w:rFonts w:hint="eastAsia"/>
                <w:sz w:val="19"/>
                <w:szCs w:val="19"/>
              </w:rPr>
              <w:t xml:space="preserve">美国 301 条款港口费</w:t>
            </w:r>
          </w:p>
        </w:tc>
        <w:tc>
          <w:tcPr>
            <w:tcW w:w="1250" w:type="dxa"/>
          </w:tcPr>
          <w:p>
            <w:pPr>
              <w:spacing w:after="0" w:line="240" w:lineRule="auto"/>
              <w:rPr>
                <w:rFonts w:hint="eastAsia"/>
              </w:rPr>
            </w:pPr>
            <w:r>
              <w:rPr>
                <w:rFonts w:hint="eastAsia"/>
                <w:sz w:val="19"/>
                <w:szCs w:val="19"/>
              </w:rPr>
              <w:t xml:space="preserve">4</w:t>
            </w:r>
          </w:p>
        </w:tc>
      </w:tr>
      <w:tr>
        <w:trPr>
          <w:cantSplit/>
        </w:trPr>
        <w:tc>
          <w:tcPr>
            <w:tcW w:w="1450" w:type="dxa"/>
          </w:tcPr>
          <w:p>
            <w:pPr>
              <w:spacing w:after="0" w:line="240" w:lineRule="auto"/>
              <w:rPr>
                <w:rFonts w:hint="eastAsia"/>
              </w:rPr>
            </w:pPr>
            <w:r>
              <w:rPr>
                <w:rFonts w:hint="eastAsia"/>
                <w:b/>
                <w:bCs/>
                <w:sz w:val="19"/>
                <w:szCs w:val="19"/>
              </w:rPr>
              <w:t xml:space="preserve">EU ETS</w:t>
            </w:r>
          </w:p>
        </w:tc>
        <w:tc>
          <w:tcPr>
            <w:tcW w:w="4200" w:type="dxa"/>
          </w:tcPr>
          <w:p>
            <w:pPr>
              <w:spacing w:after="0" w:line="240" w:lineRule="auto"/>
              <w:rPr>
                <w:rFonts w:hint="eastAsia"/>
              </w:rPr>
            </w:pPr>
            <w:r>
              <w:rPr>
                <w:rFonts w:hint="eastAsia"/>
                <w:sz w:val="19"/>
                <w:szCs w:val="19"/>
              </w:rPr>
              <w:t xml:space="preserve">EU Emissions Trading System</w:t>
            </w:r>
          </w:p>
        </w:tc>
        <w:tc>
          <w:tcPr>
            <w:tcW w:w="2126" w:type="dxa"/>
          </w:tcPr>
          <w:p>
            <w:pPr>
              <w:spacing w:after="0" w:line="240" w:lineRule="auto"/>
              <w:rPr>
                <w:rFonts w:hint="eastAsia"/>
              </w:rPr>
            </w:pPr>
            <w:r>
              <w:rPr>
                <w:rFonts w:hint="eastAsia"/>
                <w:sz w:val="19"/>
                <w:szCs w:val="19"/>
              </w:rPr>
              <w:t xml:space="preserve">欧盟碳排放交易体系</w:t>
            </w:r>
          </w:p>
        </w:tc>
        <w:tc>
          <w:tcPr>
            <w:tcW w:w="1250" w:type="dxa"/>
          </w:tcPr>
          <w:p>
            <w:pPr>
              <w:spacing w:after="0" w:line="240" w:lineRule="auto"/>
              <w:rPr>
                <w:rFonts w:hint="eastAsia"/>
              </w:rPr>
            </w:pPr>
            <w:r>
              <w:rPr>
                <w:rFonts w:hint="eastAsia"/>
                <w:sz w:val="19"/>
                <w:szCs w:val="19"/>
              </w:rPr>
              <w:t xml:space="preserve">5</w:t>
            </w:r>
          </w:p>
        </w:tc>
      </w:tr>
      <w:tr>
        <w:trPr>
          <w:cantSplit/>
        </w:trPr>
        <w:tc>
          <w:tcPr>
            <w:tcW w:w="1450" w:type="dxa"/>
          </w:tcPr>
          <w:p>
            <w:pPr>
              <w:spacing w:after="0" w:line="240" w:lineRule="auto"/>
              <w:rPr>
                <w:rFonts w:hint="eastAsia"/>
              </w:rPr>
            </w:pPr>
            <w:r>
              <w:rPr>
                <w:rFonts w:hint="eastAsia"/>
                <w:b/>
                <w:bCs/>
                <w:sz w:val="19"/>
                <w:szCs w:val="19"/>
              </w:rPr>
              <w:t xml:space="preserve">FuelEU</w:t>
            </w:r>
          </w:p>
        </w:tc>
        <w:tc>
          <w:tcPr>
            <w:tcW w:w="4200" w:type="dxa"/>
          </w:tcPr>
          <w:p>
            <w:pPr>
              <w:spacing w:after="0" w:line="240" w:lineRule="auto"/>
              <w:rPr>
                <w:rFonts w:hint="eastAsia"/>
              </w:rPr>
            </w:pPr>
            <w:r>
              <w:rPr>
                <w:rFonts w:hint="eastAsia"/>
                <w:sz w:val="19"/>
                <w:szCs w:val="19"/>
              </w:rPr>
              <w:t xml:space="preserve">FuelEU Maritime (EU rule on the carbon intensity of ship fuel)</w:t>
            </w:r>
          </w:p>
        </w:tc>
        <w:tc>
          <w:tcPr>
            <w:tcW w:w="2126" w:type="dxa"/>
          </w:tcPr>
          <w:p>
            <w:pPr>
              <w:spacing w:after="0" w:line="240" w:lineRule="auto"/>
              <w:rPr>
                <w:rFonts w:hint="eastAsia"/>
              </w:rPr>
            </w:pPr>
            <w:r>
              <w:rPr>
                <w:rFonts w:hint="eastAsia"/>
                <w:sz w:val="19"/>
                <w:szCs w:val="19"/>
              </w:rPr>
              <w:t xml:space="preserve">欧盟海运燃料法规</w:t>
            </w:r>
          </w:p>
        </w:tc>
        <w:tc>
          <w:tcPr>
            <w:tcW w:w="1250" w:type="dxa"/>
          </w:tcPr>
          <w:p>
            <w:pPr>
              <w:spacing w:after="0" w:line="240" w:lineRule="auto"/>
              <w:rPr>
                <w:rFonts w:hint="eastAsia"/>
              </w:rPr>
            </w:pPr>
            <w:r>
              <w:rPr>
                <w:rFonts w:hint="eastAsia"/>
                <w:sz w:val="19"/>
                <w:szCs w:val="19"/>
              </w:rPr>
              <w:t xml:space="preserve">5</w:t>
            </w:r>
          </w:p>
        </w:tc>
      </w:tr>
      <w:tr>
        <w:trPr>
          <w:cantSplit/>
        </w:trPr>
        <w:tc>
          <w:tcPr>
            <w:tcW w:w="1450" w:type="dxa"/>
          </w:tcPr>
          <w:p>
            <w:pPr>
              <w:spacing w:after="0" w:line="240" w:lineRule="auto"/>
              <w:rPr>
                <w:rFonts w:hint="eastAsia"/>
              </w:rPr>
            </w:pPr>
            <w:r>
              <w:rPr>
                <w:rFonts w:hint="eastAsia"/>
                <w:b/>
                <w:bCs/>
                <w:sz w:val="19"/>
                <w:szCs w:val="19"/>
              </w:rPr>
              <w:t xml:space="preserve">WS</w:t>
            </w:r>
          </w:p>
        </w:tc>
        <w:tc>
          <w:tcPr>
            <w:tcW w:w="4200" w:type="dxa"/>
          </w:tcPr>
          <w:p>
            <w:pPr>
              <w:spacing w:after="0" w:line="240" w:lineRule="auto"/>
              <w:rPr>
                <w:rFonts w:hint="eastAsia"/>
              </w:rPr>
            </w:pPr>
            <w:r>
              <w:rPr>
                <w:rFonts w:hint="eastAsia"/>
                <w:sz w:val="19"/>
                <w:szCs w:val="19"/>
              </w:rPr>
              <w:t xml:space="preserve">Worldscale (tanker freight scale; WS100 = the published flat rate)</w:t>
            </w:r>
          </w:p>
        </w:tc>
        <w:tc>
          <w:tcPr>
            <w:tcW w:w="2126" w:type="dxa"/>
          </w:tcPr>
          <w:p>
            <w:pPr>
              <w:spacing w:after="0" w:line="240" w:lineRule="auto"/>
              <w:rPr>
                <w:rFonts w:hint="eastAsia"/>
              </w:rPr>
            </w:pPr>
            <w:r>
              <w:rPr>
                <w:rFonts w:hint="eastAsia"/>
                <w:sz w:val="19"/>
                <w:szCs w:val="19"/>
              </w:rPr>
              <w:t xml:space="preserve">世界油轮运价指数</w:t>
            </w:r>
          </w:p>
        </w:tc>
        <w:tc>
          <w:tcPr>
            <w:tcW w:w="1250" w:type="dxa"/>
          </w:tcPr>
          <w:p>
            <w:pPr>
              <w:spacing w:after="0" w:line="240" w:lineRule="auto"/>
              <w:rPr>
                <w:rFonts w:hint="eastAsia"/>
              </w:rPr>
            </w:pPr>
            <w:r>
              <w:rPr>
                <w:rFonts w:hint="eastAsia"/>
                <w:sz w:val="19"/>
                <w:szCs w:val="19"/>
              </w:rPr>
              <w:t xml:space="preserve">9</w:t>
            </w:r>
          </w:p>
        </w:tc>
      </w:tr>
      <w:tr>
        <w:trPr>
          <w:cantSplit/>
        </w:trPr>
        <w:tc>
          <w:tcPr>
            <w:tcW w:w="1450" w:type="dxa"/>
          </w:tcPr>
          <w:p>
            <w:pPr>
              <w:spacing w:after="0" w:line="240" w:lineRule="auto"/>
              <w:rPr>
                <w:rFonts w:hint="eastAsia"/>
              </w:rPr>
            </w:pPr>
            <w:r>
              <w:rPr>
                <w:rFonts w:hint="eastAsia"/>
                <w:b/>
                <w:bCs/>
                <w:sz w:val="19"/>
                <w:szCs w:val="19"/>
              </w:rPr>
              <w:t xml:space="preserve">TCE</w:t>
            </w:r>
          </w:p>
        </w:tc>
        <w:tc>
          <w:tcPr>
            <w:tcW w:w="4200" w:type="dxa"/>
          </w:tcPr>
          <w:p>
            <w:pPr>
              <w:spacing w:after="0" w:line="240" w:lineRule="auto"/>
              <w:rPr>
                <w:rFonts w:hint="eastAsia"/>
              </w:rPr>
            </w:pPr>
            <w:r>
              <w:rPr>
                <w:rFonts w:hint="eastAsia"/>
                <w:sz w:val="19"/>
                <w:szCs w:val="19"/>
              </w:rPr>
              <w:t xml:space="preserve">time charter equivalent (voyage income turned into a daily rate)</w:t>
            </w:r>
          </w:p>
        </w:tc>
        <w:tc>
          <w:tcPr>
            <w:tcW w:w="2126" w:type="dxa"/>
          </w:tcPr>
          <w:p>
            <w:pPr>
              <w:spacing w:after="0" w:line="240" w:lineRule="auto"/>
              <w:rPr>
                <w:rFonts w:hint="eastAsia"/>
              </w:rPr>
            </w:pPr>
            <w:r>
              <w:rPr>
                <w:rFonts w:hint="eastAsia"/>
                <w:sz w:val="19"/>
                <w:szCs w:val="19"/>
              </w:rPr>
              <w:t xml:space="preserve">期租等价日收益</w:t>
            </w:r>
          </w:p>
        </w:tc>
        <w:tc>
          <w:tcPr>
            <w:tcW w:w="1250" w:type="dxa"/>
          </w:tcPr>
          <w:p>
            <w:pPr>
              <w:spacing w:after="0" w:line="240" w:lineRule="auto"/>
              <w:rPr>
                <w:rFonts w:hint="eastAsia"/>
              </w:rPr>
            </w:pPr>
            <w:r>
              <w:rPr>
                <w:rFonts w:hint="eastAsia"/>
                <w:sz w:val="19"/>
                <w:szCs w:val="19"/>
              </w:rPr>
              <w:t xml:space="preserve">9</w:t>
            </w:r>
          </w:p>
        </w:tc>
      </w:tr>
      <w:tr>
        <w:trPr>
          <w:cantSplit/>
        </w:trPr>
        <w:tc>
          <w:tcPr>
            <w:tcW w:w="1450" w:type="dxa"/>
          </w:tcPr>
          <w:p>
            <w:pPr>
              <w:spacing w:after="0" w:line="240" w:lineRule="auto"/>
              <w:rPr>
                <w:rFonts w:hint="eastAsia"/>
              </w:rPr>
            </w:pPr>
            <w:r>
              <w:rPr>
                <w:rFonts w:hint="eastAsia"/>
                <w:b/>
                <w:bCs/>
                <w:sz w:val="19"/>
                <w:szCs w:val="19"/>
              </w:rPr>
              <w:t xml:space="preserve">VLSFO</w:t>
            </w:r>
          </w:p>
        </w:tc>
        <w:tc>
          <w:tcPr>
            <w:tcW w:w="4200" w:type="dxa"/>
          </w:tcPr>
          <w:p>
            <w:pPr>
              <w:spacing w:after="0" w:line="240" w:lineRule="auto"/>
              <w:rPr>
                <w:rFonts w:hint="eastAsia"/>
              </w:rPr>
            </w:pPr>
            <w:r>
              <w:rPr>
                <w:rFonts w:hint="eastAsia"/>
                <w:sz w:val="19"/>
                <w:szCs w:val="19"/>
              </w:rPr>
              <w:t xml:space="preserve">very low sulphur fuel oil</w:t>
            </w:r>
          </w:p>
        </w:tc>
        <w:tc>
          <w:tcPr>
            <w:tcW w:w="2126" w:type="dxa"/>
          </w:tcPr>
          <w:p>
            <w:pPr>
              <w:spacing w:after="0" w:line="240" w:lineRule="auto"/>
              <w:rPr>
                <w:rFonts w:hint="eastAsia"/>
              </w:rPr>
            </w:pPr>
            <w:r>
              <w:rPr>
                <w:rFonts w:hint="eastAsia"/>
                <w:sz w:val="19"/>
                <w:szCs w:val="19"/>
              </w:rPr>
              <w:t xml:space="preserve">超低硫燃油</w:t>
            </w:r>
          </w:p>
        </w:tc>
        <w:tc>
          <w:tcPr>
            <w:tcW w:w="1250" w:type="dxa"/>
          </w:tcPr>
          <w:p>
            <w:pPr>
              <w:spacing w:after="0" w:line="240" w:lineRule="auto"/>
              <w:rPr>
                <w:rFonts w:hint="eastAsia"/>
              </w:rPr>
            </w:pPr>
            <w:r>
              <w:rPr>
                <w:rFonts w:hint="eastAsia"/>
                <w:sz w:val="19"/>
                <w:szCs w:val="19"/>
              </w:rPr>
              <w:t xml:space="preserve">9</w:t>
            </w:r>
          </w:p>
        </w:tc>
      </w:tr>
      <w:tr>
        <w:trPr>
          <w:cantSplit/>
        </w:trPr>
        <w:tc>
          <w:tcPr>
            <w:tcW w:w="1450" w:type="dxa"/>
          </w:tcPr>
          <w:p>
            <w:pPr>
              <w:spacing w:after="0" w:line="240" w:lineRule="auto"/>
              <w:rPr>
                <w:rFonts w:hint="eastAsia"/>
              </w:rPr>
            </w:pPr>
            <w:r>
              <w:rPr>
                <w:rFonts w:hint="eastAsia"/>
                <w:b/>
                <w:bCs/>
                <w:sz w:val="19"/>
                <w:szCs w:val="19"/>
              </w:rPr>
              <w:t xml:space="preserve">DBCT</w:t>
            </w:r>
          </w:p>
        </w:tc>
        <w:tc>
          <w:tcPr>
            <w:tcW w:w="4200" w:type="dxa"/>
          </w:tcPr>
          <w:p>
            <w:pPr>
              <w:spacing w:after="0" w:line="240" w:lineRule="auto"/>
              <w:rPr>
                <w:rFonts w:hint="eastAsia"/>
              </w:rPr>
            </w:pPr>
            <w:r>
              <w:rPr>
                <w:rFonts w:hint="eastAsia"/>
                <w:sz w:val="19"/>
                <w:szCs w:val="19"/>
              </w:rPr>
              <w:t xml:space="preserve">Dalrymple Bay Coal Terminal (Queensland, Australia)</w:t>
            </w:r>
          </w:p>
        </w:tc>
        <w:tc>
          <w:tcPr>
            <w:tcW w:w="2126" w:type="dxa"/>
          </w:tcPr>
          <w:p>
            <w:pPr>
              <w:spacing w:after="0" w:line="240" w:lineRule="auto"/>
              <w:rPr>
                <w:rFonts w:hint="eastAsia"/>
              </w:rPr>
            </w:pPr>
            <w:r>
              <w:rPr>
                <w:rFonts w:hint="eastAsia"/>
                <w:sz w:val="19"/>
                <w:szCs w:val="19"/>
              </w:rPr>
              <w:t xml:space="preserve">澳大利亚达尔林普尔湾煤炭码头</w:t>
            </w:r>
          </w:p>
        </w:tc>
        <w:tc>
          <w:tcPr>
            <w:tcW w:w="1250" w:type="dxa"/>
          </w:tcPr>
          <w:p>
            <w:pPr>
              <w:spacing w:after="0" w:line="240" w:lineRule="auto"/>
              <w:rPr>
                <w:rFonts w:hint="eastAsia"/>
              </w:rPr>
            </w:pPr>
            <w:r>
              <w:rPr>
                <w:rFonts w:hint="eastAsia"/>
                <w:sz w:val="19"/>
                <w:szCs w:val="19"/>
              </w:rPr>
              <w:t xml:space="preserve">3, 9</w:t>
            </w:r>
          </w:p>
        </w:tc>
      </w:tr>
      <w:tr>
        <w:trPr>
          <w:cantSplit/>
        </w:trPr>
        <w:tc>
          <w:tcPr>
            <w:tcW w:w="1450" w:type="dxa"/>
          </w:tcPr>
          <w:p>
            <w:pPr>
              <w:spacing w:after="0" w:line="240" w:lineRule="auto"/>
              <w:rPr>
                <w:rFonts w:hint="eastAsia"/>
              </w:rPr>
            </w:pPr>
            <w:r>
              <w:rPr>
                <w:rFonts w:hint="eastAsia"/>
                <w:b/>
                <w:bCs/>
                <w:sz w:val="19"/>
                <w:szCs w:val="19"/>
              </w:rPr>
              <w:t xml:space="preserve">Vizag</w:t>
            </w:r>
          </w:p>
        </w:tc>
        <w:tc>
          <w:tcPr>
            <w:tcW w:w="4200" w:type="dxa"/>
          </w:tcPr>
          <w:p>
            <w:pPr>
              <w:spacing w:after="0" w:line="240" w:lineRule="auto"/>
              <w:rPr>
                <w:rFonts w:hint="eastAsia"/>
              </w:rPr>
            </w:pPr>
            <w:r>
              <w:rPr>
                <w:rFonts w:hint="eastAsia"/>
                <w:sz w:val="19"/>
                <w:szCs w:val="19"/>
              </w:rPr>
              <w:t xml:space="preserve">Visakhapatnam (port in India)</w:t>
            </w:r>
          </w:p>
        </w:tc>
        <w:tc>
          <w:tcPr>
            <w:tcW w:w="2126" w:type="dxa"/>
          </w:tcPr>
          <w:p>
            <w:pPr>
              <w:spacing w:after="0" w:line="240" w:lineRule="auto"/>
              <w:rPr>
                <w:rFonts w:hint="eastAsia"/>
              </w:rPr>
            </w:pPr>
            <w:r>
              <w:rPr>
                <w:rFonts w:hint="eastAsia"/>
                <w:sz w:val="19"/>
                <w:szCs w:val="19"/>
              </w:rPr>
              <w:t xml:space="preserve">印度维沙卡帕特南港</w:t>
            </w:r>
          </w:p>
        </w:tc>
        <w:tc>
          <w:tcPr>
            <w:tcW w:w="1250" w:type="dxa"/>
          </w:tcPr>
          <w:p>
            <w:pPr>
              <w:spacing w:after="0" w:line="240" w:lineRule="auto"/>
              <w:rPr>
                <w:rFonts w:hint="eastAsia"/>
              </w:rPr>
            </w:pPr>
            <w:r>
              <w:rPr>
                <w:rFonts w:hint="eastAsia"/>
                <w:sz w:val="19"/>
                <w:szCs w:val="19"/>
              </w:rPr>
              <w:t xml:space="preserve">9</w:t>
            </w:r>
          </w:p>
        </w:tc>
      </w:tr>
      <w:tr>
        <w:trPr>
          <w:cantSplit/>
        </w:trPr>
        <w:tc>
          <w:tcPr>
            <w:tcW w:w="1450" w:type="dxa"/>
          </w:tcPr>
          <w:p>
            <w:pPr>
              <w:spacing w:after="0" w:line="240" w:lineRule="auto"/>
              <w:rPr>
                <w:rFonts w:hint="eastAsia"/>
              </w:rPr>
            </w:pPr>
            <w:r>
              <w:rPr>
                <w:rFonts w:hint="eastAsia"/>
                <w:b/>
                <w:bCs/>
                <w:sz w:val="19"/>
                <w:szCs w:val="19"/>
              </w:rPr>
              <w:t xml:space="preserve">SAIL</w:t>
            </w:r>
          </w:p>
        </w:tc>
        <w:tc>
          <w:tcPr>
            <w:tcW w:w="4200" w:type="dxa"/>
          </w:tcPr>
          <w:p>
            <w:pPr>
              <w:spacing w:after="0" w:line="240" w:lineRule="auto"/>
              <w:rPr>
                <w:rFonts w:hint="eastAsia"/>
              </w:rPr>
            </w:pPr>
            <w:r>
              <w:rPr>
                <w:rFonts w:hint="eastAsia"/>
                <w:sz w:val="19"/>
                <w:szCs w:val="19"/>
              </w:rPr>
              <w:t xml:space="preserve">Steel Authority of India Limited</w:t>
            </w:r>
          </w:p>
        </w:tc>
        <w:tc>
          <w:tcPr>
            <w:tcW w:w="2126" w:type="dxa"/>
          </w:tcPr>
          <w:p>
            <w:pPr>
              <w:spacing w:after="0" w:line="240" w:lineRule="auto"/>
              <w:rPr>
                <w:rFonts w:hint="eastAsia"/>
              </w:rPr>
            </w:pPr>
            <w:r>
              <w:rPr>
                <w:rFonts w:hint="eastAsia"/>
                <w:sz w:val="19"/>
                <w:szCs w:val="19"/>
              </w:rPr>
              <w:t xml:space="preserve">印度钢铁管理局</w:t>
            </w:r>
          </w:p>
        </w:tc>
        <w:tc>
          <w:tcPr>
            <w:tcW w:w="1250" w:type="dxa"/>
          </w:tcPr>
          <w:p>
            <w:pPr>
              <w:spacing w:after="0" w:line="240" w:lineRule="auto"/>
              <w:rPr>
                <w:rFonts w:hint="eastAsia"/>
              </w:rPr>
            </w:pPr>
            <w:r>
              <w:rPr>
                <w:rFonts w:hint="eastAsia"/>
                <w:sz w:val="19"/>
                <w:szCs w:val="19"/>
              </w:rPr>
              <w:t xml:space="preserve">9</w:t>
            </w:r>
          </w:p>
        </w:tc>
      </w:tr>
      <w:tr>
        <w:trPr>
          <w:cantSplit/>
        </w:trPr>
        <w:tc>
          <w:tcPr>
            <w:tcW w:w="1450" w:type="dxa"/>
          </w:tcPr>
          <w:p>
            <w:pPr>
              <w:spacing w:after="0" w:line="240" w:lineRule="auto"/>
              <w:rPr>
                <w:rFonts w:hint="eastAsia"/>
              </w:rPr>
            </w:pPr>
            <w:r>
              <w:rPr>
                <w:rFonts w:hint="eastAsia"/>
                <w:b/>
                <w:bCs/>
                <w:sz w:val="19"/>
                <w:szCs w:val="19"/>
              </w:rPr>
              <w:t xml:space="preserve">KEPCO</w:t>
            </w:r>
          </w:p>
        </w:tc>
        <w:tc>
          <w:tcPr>
            <w:tcW w:w="4200" w:type="dxa"/>
          </w:tcPr>
          <w:p>
            <w:pPr>
              <w:spacing w:after="0" w:line="240" w:lineRule="auto"/>
              <w:rPr>
                <w:rFonts w:hint="eastAsia"/>
              </w:rPr>
            </w:pPr>
            <w:r>
              <w:rPr>
                <w:rFonts w:hint="eastAsia"/>
                <w:sz w:val="19"/>
                <w:szCs w:val="19"/>
              </w:rPr>
              <w:t xml:space="preserve">Korea Electric Power Corporation</w:t>
            </w:r>
          </w:p>
        </w:tc>
        <w:tc>
          <w:tcPr>
            <w:tcW w:w="2126" w:type="dxa"/>
          </w:tcPr>
          <w:p>
            <w:pPr>
              <w:spacing w:after="0" w:line="240" w:lineRule="auto"/>
              <w:rPr>
                <w:rFonts w:hint="eastAsia"/>
              </w:rPr>
            </w:pPr>
            <w:r>
              <w:rPr>
                <w:rFonts w:hint="eastAsia"/>
                <w:sz w:val="19"/>
                <w:szCs w:val="19"/>
              </w:rPr>
              <w:t xml:space="preserve">韩国电力公社</w:t>
            </w:r>
          </w:p>
        </w:tc>
        <w:tc>
          <w:tcPr>
            <w:tcW w:w="1250" w:type="dxa"/>
          </w:tcPr>
          <w:p>
            <w:pPr>
              <w:spacing w:after="0" w:line="240" w:lineRule="auto"/>
              <w:rPr>
                <w:rFonts w:hint="eastAsia"/>
              </w:rPr>
            </w:pPr>
            <w:r>
              <w:rPr>
                <w:rFonts w:hint="eastAsia"/>
                <w:sz w:val="19"/>
                <w:szCs w:val="19"/>
              </w:rPr>
              <w:t xml:space="preserve">9</w:t>
            </w:r>
          </w:p>
        </w:tc>
      </w:tr>
      <w:tr>
        <w:trPr>
          <w:cantSplit/>
        </w:trPr>
        <w:tc>
          <w:tcPr>
            <w:tcW w:w="1450" w:type="dxa"/>
          </w:tcPr>
          <w:p>
            <w:pPr>
              <w:spacing w:after="0" w:line="240" w:lineRule="auto"/>
              <w:rPr>
                <w:rFonts w:hint="eastAsia"/>
              </w:rPr>
            </w:pPr>
            <w:r>
              <w:rPr>
                <w:rFonts w:hint="eastAsia"/>
                <w:b/>
                <w:bCs/>
                <w:sz w:val="19"/>
                <w:szCs w:val="19"/>
              </w:rPr>
              <w:t xml:space="preserve">US Gulf</w:t>
            </w:r>
          </w:p>
        </w:tc>
        <w:tc>
          <w:tcPr>
            <w:tcW w:w="4200" w:type="dxa"/>
          </w:tcPr>
          <w:p>
            <w:pPr>
              <w:spacing w:after="0" w:line="240" w:lineRule="auto"/>
              <w:rPr>
                <w:rFonts w:hint="eastAsia"/>
              </w:rPr>
            </w:pPr>
            <w:r>
              <w:rPr>
                <w:rFonts w:hint="eastAsia"/>
                <w:sz w:val="19"/>
                <w:szCs w:val="19"/>
              </w:rPr>
              <w:t xml:space="preserve">US Gulf Coast</w:t>
            </w:r>
          </w:p>
        </w:tc>
        <w:tc>
          <w:tcPr>
            <w:tcW w:w="2126" w:type="dxa"/>
          </w:tcPr>
          <w:p>
            <w:pPr>
              <w:spacing w:after="0" w:line="240" w:lineRule="auto"/>
              <w:rPr>
                <w:rFonts w:hint="eastAsia"/>
              </w:rPr>
            </w:pPr>
            <w:r>
              <w:rPr>
                <w:rFonts w:hint="eastAsia"/>
                <w:sz w:val="19"/>
                <w:szCs w:val="19"/>
              </w:rPr>
              <w:t xml:space="preserve">美国墨西哥湾沿岸</w:t>
            </w:r>
          </w:p>
        </w:tc>
        <w:tc>
          <w:tcPr>
            <w:tcW w:w="1250" w:type="dxa"/>
          </w:tcPr>
          <w:p>
            <w:pPr>
              <w:spacing w:after="0" w:line="240" w:lineRule="auto"/>
              <w:rPr>
                <w:rFonts w:hint="eastAsia"/>
              </w:rPr>
            </w:pPr>
            <w:r>
              <w:rPr>
                <w:rFonts w:hint="eastAsia"/>
                <w:sz w:val="19"/>
                <w:szCs w:val="19"/>
              </w:rPr>
              <w:t xml:space="preserve">6, 9</w:t>
            </w:r>
          </w:p>
        </w:tc>
      </w:tr>
      <w:tr>
        <w:trPr>
          <w:cantSplit/>
        </w:trPr>
        <w:tc>
          <w:tcPr>
            <w:tcW w:w="1450" w:type="dxa"/>
          </w:tcPr>
          <w:p>
            <w:pPr>
              <w:spacing w:after="0" w:line="240" w:lineRule="auto"/>
              <w:rPr>
                <w:rFonts w:hint="eastAsia"/>
              </w:rPr>
            </w:pPr>
            <w:r>
              <w:rPr>
                <w:rFonts w:hint="eastAsia"/>
                <w:b/>
                <w:bCs/>
                <w:sz w:val="19"/>
                <w:szCs w:val="19"/>
              </w:rPr>
              <w:t xml:space="preserve">Aframax</w:t>
            </w:r>
          </w:p>
        </w:tc>
        <w:tc>
          <w:tcPr>
            <w:tcW w:w="4200" w:type="dxa"/>
          </w:tcPr>
          <w:p>
            <w:pPr>
              <w:spacing w:after="0" w:line="240" w:lineRule="auto"/>
              <w:rPr>
                <w:rFonts w:hint="eastAsia"/>
              </w:rPr>
            </w:pPr>
            <w:r>
              <w:rPr>
                <w:rFonts w:hint="eastAsia"/>
                <w:sz w:val="19"/>
                <w:szCs w:val="19"/>
              </w:rPr>
              <w:t xml:space="preserve">named after AFRA, the Average Freight Rate Assessment scale; crude tanker about 80,000 to 120,000 dwt</w:t>
            </w:r>
          </w:p>
        </w:tc>
        <w:tc>
          <w:tcPr>
            <w:tcW w:w="2126" w:type="dxa"/>
          </w:tcPr>
          <w:p>
            <w:pPr>
              <w:spacing w:after="0" w:line="240" w:lineRule="auto"/>
              <w:rPr>
                <w:rFonts w:hint="eastAsia"/>
              </w:rPr>
            </w:pPr>
            <w:r>
              <w:rPr>
                <w:rFonts w:hint="eastAsia"/>
                <w:sz w:val="19"/>
                <w:szCs w:val="19"/>
              </w:rPr>
              <w:t xml:space="preserve">阿芙拉型油轮</w:t>
            </w:r>
          </w:p>
        </w:tc>
        <w:tc>
          <w:tcPr>
            <w:tcW w:w="1250" w:type="dxa"/>
          </w:tcPr>
          <w:p>
            <w:pPr>
              <w:spacing w:after="0" w:line="240" w:lineRule="auto"/>
              <w:rPr>
                <w:rFonts w:hint="eastAsia"/>
              </w:rPr>
            </w:pPr>
            <w:r>
              <w:rPr>
                <w:rFonts w:hint="eastAsia"/>
                <w:sz w:val="19"/>
                <w:szCs w:val="19"/>
              </w:rPr>
              <w:t xml:space="preserve">3 to 9</w:t>
            </w:r>
          </w:p>
        </w:tc>
      </w:tr>
      <w:tr>
        <w:trPr>
          <w:cantSplit/>
        </w:trPr>
        <w:tc>
          <w:tcPr>
            <w:tcW w:w="1450" w:type="dxa"/>
          </w:tcPr>
          <w:p>
            <w:pPr>
              <w:spacing w:after="0" w:line="240" w:lineRule="auto"/>
              <w:rPr>
                <w:rFonts w:hint="eastAsia"/>
              </w:rPr>
            </w:pPr>
            <w:r>
              <w:rPr>
                <w:rFonts w:hint="eastAsia"/>
                <w:b/>
                <w:bCs/>
                <w:sz w:val="19"/>
                <w:szCs w:val="19"/>
              </w:rPr>
              <w:t xml:space="preserve">Suezmax</w:t>
            </w:r>
          </w:p>
        </w:tc>
        <w:tc>
          <w:tcPr>
            <w:tcW w:w="4200" w:type="dxa"/>
          </w:tcPr>
          <w:p>
            <w:pPr>
              <w:spacing w:after="0" w:line="240" w:lineRule="auto"/>
              <w:rPr>
                <w:rFonts w:hint="eastAsia"/>
              </w:rPr>
            </w:pPr>
            <w:r>
              <w:rPr>
                <w:rFonts w:hint="eastAsia"/>
                <w:sz w:val="19"/>
                <w:szCs w:val="19"/>
              </w:rPr>
              <w:t xml:space="preserve">largest tanker that can pass the Suez Canal fully loaded, about 150,000 to 160,000 dwt</w:t>
            </w:r>
          </w:p>
        </w:tc>
        <w:tc>
          <w:tcPr>
            <w:tcW w:w="2126" w:type="dxa"/>
          </w:tcPr>
          <w:p>
            <w:pPr>
              <w:spacing w:after="0" w:line="240" w:lineRule="auto"/>
              <w:rPr>
                <w:rFonts w:hint="eastAsia"/>
              </w:rPr>
            </w:pPr>
            <w:r>
              <w:rPr>
                <w:rFonts w:hint="eastAsia"/>
                <w:sz w:val="19"/>
                <w:szCs w:val="19"/>
              </w:rPr>
              <w:t xml:space="preserve">苏伊士型油轮</w:t>
            </w:r>
          </w:p>
        </w:tc>
        <w:tc>
          <w:tcPr>
            <w:tcW w:w="1250" w:type="dxa"/>
          </w:tcPr>
          <w:p>
            <w:pPr>
              <w:spacing w:after="0" w:line="240" w:lineRule="auto"/>
              <w:rPr>
                <w:rFonts w:hint="eastAsia"/>
              </w:rPr>
            </w:pPr>
            <w:r>
              <w:rPr>
                <w:rFonts w:hint="eastAsia"/>
                <w:sz w:val="19"/>
                <w:szCs w:val="19"/>
              </w:rPr>
              <w:t xml:space="preserve">2, 3, 5, 9</w:t>
            </w:r>
          </w:p>
        </w:tc>
      </w:tr>
      <w:tr>
        <w:trPr>
          <w:cantSplit/>
        </w:trPr>
        <w:tc>
          <w:tcPr>
            <w:tcW w:w="1450" w:type="dxa"/>
          </w:tcPr>
          <w:p>
            <w:pPr>
              <w:spacing w:after="0" w:line="240" w:lineRule="auto"/>
              <w:rPr>
                <w:rFonts w:hint="eastAsia"/>
              </w:rPr>
            </w:pPr>
            <w:r>
              <w:rPr>
                <w:rFonts w:hint="eastAsia"/>
                <w:b/>
                <w:bCs/>
                <w:sz w:val="19"/>
                <w:szCs w:val="19"/>
              </w:rPr>
              <w:t xml:space="preserve">Kamsarmax</w:t>
            </w:r>
          </w:p>
        </w:tc>
        <w:tc>
          <w:tcPr>
            <w:tcW w:w="4200" w:type="dxa"/>
          </w:tcPr>
          <w:p>
            <w:pPr>
              <w:spacing w:after="0" w:line="240" w:lineRule="auto"/>
              <w:rPr>
                <w:rFonts w:hint="eastAsia"/>
              </w:rPr>
            </w:pPr>
            <w:r>
              <w:rPr>
                <w:rFonts w:hint="eastAsia"/>
                <w:sz w:val="19"/>
                <w:szCs w:val="19"/>
              </w:rPr>
              <w:t xml:space="preserve">largest bulk carrier that can load at Port Kamsar, Guinea, about 82,000 dwt</w:t>
            </w:r>
          </w:p>
        </w:tc>
        <w:tc>
          <w:tcPr>
            <w:tcW w:w="2126" w:type="dxa"/>
          </w:tcPr>
          <w:p>
            <w:pPr>
              <w:spacing w:after="0" w:line="240" w:lineRule="auto"/>
              <w:rPr>
                <w:rFonts w:hint="eastAsia"/>
              </w:rPr>
            </w:pPr>
            <w:r>
              <w:rPr>
                <w:rFonts w:hint="eastAsia"/>
                <w:sz w:val="19"/>
                <w:szCs w:val="19"/>
              </w:rPr>
              <w:t xml:space="preserve">卡姆萨尔型散货船</w:t>
            </w:r>
          </w:p>
        </w:tc>
        <w:tc>
          <w:tcPr>
            <w:tcW w:w="1250" w:type="dxa"/>
          </w:tcPr>
          <w:p>
            <w:pPr>
              <w:spacing w:after="0" w:line="240" w:lineRule="auto"/>
              <w:rPr>
                <w:rFonts w:hint="eastAsia"/>
              </w:rPr>
            </w:pPr>
            <w:r>
              <w:rPr>
                <w:rFonts w:hint="eastAsia"/>
                <w:sz w:val="19"/>
                <w:szCs w:val="19"/>
              </w:rPr>
              <w:t xml:space="preserve">3 to 9</w:t>
            </w:r>
          </w:p>
        </w:tc>
      </w:tr>
    </w:tbl>
    <w:p>
      <w:pPr>
        <w:rPr>
          <w:rFonts w:hint="eastAsia"/>
        </w:rPr>
      </w:pPr>
    </w:p>
    <w:sectPr w:rsidR="00D04996" w:rsidSect="00545C4F">
      <w:pgSz w:w="11906" w:h="16838" w:code="9"/>
      <w:pgMar w:top="1418" w:right="1440" w:bottom="1440" w:left="1440" w:header="709" w:footer="709"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A2"/>
    <w:rsid w:val="00191AE0"/>
    <w:rsid w:val="001A3CC9"/>
    <w:rsid w:val="0031682F"/>
    <w:rsid w:val="00545C4F"/>
    <w:rsid w:val="005733BC"/>
    <w:rsid w:val="00857EC0"/>
    <w:rsid w:val="009028A2"/>
    <w:rsid w:val="00AD6165"/>
    <w:rsid w:val="00D04996"/>
    <w:rsid w:val="00EC5EB7"/>
    <w:rsid w:val="00FC5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3A595"/>
  <w15:chartTrackingRefBased/>
  <w15:docId w15:val="{6743BC89-C8B5-4539-B239-D0FD7081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28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28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28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028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028A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028A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28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28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28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28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28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28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028A2"/>
    <w:rPr>
      <w:rFonts w:cstheme="majorBidi"/>
      <w:color w:val="0F4761" w:themeColor="accent1" w:themeShade="BF"/>
      <w:sz w:val="28"/>
      <w:szCs w:val="28"/>
    </w:rPr>
  </w:style>
  <w:style w:type="character" w:customStyle="1" w:styleId="50">
    <w:name w:val="标题 5 字符"/>
    <w:basedOn w:val="a0"/>
    <w:link w:val="5"/>
    <w:uiPriority w:val="9"/>
    <w:semiHidden/>
    <w:rsid w:val="009028A2"/>
    <w:rPr>
      <w:rFonts w:cstheme="majorBidi"/>
      <w:color w:val="0F4761" w:themeColor="accent1" w:themeShade="BF"/>
      <w:sz w:val="24"/>
    </w:rPr>
  </w:style>
  <w:style w:type="character" w:customStyle="1" w:styleId="60">
    <w:name w:val="标题 6 字符"/>
    <w:basedOn w:val="a0"/>
    <w:link w:val="6"/>
    <w:uiPriority w:val="9"/>
    <w:semiHidden/>
    <w:rsid w:val="009028A2"/>
    <w:rPr>
      <w:rFonts w:cstheme="majorBidi"/>
      <w:b/>
      <w:bCs/>
      <w:color w:val="0F4761" w:themeColor="accent1" w:themeShade="BF"/>
    </w:rPr>
  </w:style>
  <w:style w:type="character" w:customStyle="1" w:styleId="70">
    <w:name w:val="标题 7 字符"/>
    <w:basedOn w:val="a0"/>
    <w:link w:val="7"/>
    <w:uiPriority w:val="9"/>
    <w:semiHidden/>
    <w:rsid w:val="009028A2"/>
    <w:rPr>
      <w:rFonts w:cstheme="majorBidi"/>
      <w:b/>
      <w:bCs/>
      <w:color w:val="595959" w:themeColor="text1" w:themeTint="A6"/>
    </w:rPr>
  </w:style>
  <w:style w:type="character" w:customStyle="1" w:styleId="80">
    <w:name w:val="标题 8 字符"/>
    <w:basedOn w:val="a0"/>
    <w:link w:val="8"/>
    <w:uiPriority w:val="9"/>
    <w:semiHidden/>
    <w:rsid w:val="009028A2"/>
    <w:rPr>
      <w:rFonts w:cstheme="majorBidi"/>
      <w:color w:val="595959" w:themeColor="text1" w:themeTint="A6"/>
    </w:rPr>
  </w:style>
  <w:style w:type="character" w:customStyle="1" w:styleId="90">
    <w:name w:val="标题 9 字符"/>
    <w:basedOn w:val="a0"/>
    <w:link w:val="9"/>
    <w:uiPriority w:val="9"/>
    <w:semiHidden/>
    <w:rsid w:val="009028A2"/>
    <w:rPr>
      <w:rFonts w:eastAsiaTheme="majorEastAsia" w:cstheme="majorBidi"/>
      <w:color w:val="595959" w:themeColor="text1" w:themeTint="A6"/>
    </w:rPr>
  </w:style>
  <w:style w:type="paragraph" w:styleId="a3">
    <w:name w:val="Title"/>
    <w:basedOn w:val="a"/>
    <w:next w:val="a"/>
    <w:link w:val="a4"/>
    <w:uiPriority w:val="10"/>
    <w:qFormat/>
    <w:rsid w:val="009028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28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28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28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28A2"/>
    <w:pPr>
      <w:spacing w:before="160"/>
      <w:jc w:val="center"/>
    </w:pPr>
    <w:rPr>
      <w:i/>
      <w:iCs/>
      <w:color w:val="404040" w:themeColor="text1" w:themeTint="BF"/>
    </w:rPr>
  </w:style>
  <w:style w:type="character" w:customStyle="1" w:styleId="a8">
    <w:name w:val="引用 字符"/>
    <w:basedOn w:val="a0"/>
    <w:link w:val="a7"/>
    <w:uiPriority w:val="29"/>
    <w:rsid w:val="009028A2"/>
    <w:rPr>
      <w:i/>
      <w:iCs/>
      <w:color w:val="404040" w:themeColor="text1" w:themeTint="BF"/>
    </w:rPr>
  </w:style>
  <w:style w:type="paragraph" w:styleId="a9">
    <w:name w:val="List Paragraph"/>
    <w:basedOn w:val="a"/>
    <w:uiPriority w:val="34"/>
    <w:qFormat/>
    <w:rsid w:val="009028A2"/>
    <w:pPr>
      <w:ind w:left="720"/>
      <w:contextualSpacing/>
    </w:pPr>
  </w:style>
  <w:style w:type="character" w:styleId="aa">
    <w:name w:val="Intense Emphasis"/>
    <w:basedOn w:val="a0"/>
    <w:uiPriority w:val="21"/>
    <w:qFormat/>
    <w:rsid w:val="009028A2"/>
    <w:rPr>
      <w:i/>
      <w:iCs/>
      <w:color w:val="0F4761" w:themeColor="accent1" w:themeShade="BF"/>
    </w:rPr>
  </w:style>
  <w:style w:type="paragraph" w:styleId="ab">
    <w:name w:val="Intense Quote"/>
    <w:basedOn w:val="a"/>
    <w:next w:val="a"/>
    <w:link w:val="ac"/>
    <w:uiPriority w:val="30"/>
    <w:qFormat/>
    <w:rsid w:val="00902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28A2"/>
    <w:rPr>
      <w:i/>
      <w:iCs/>
      <w:color w:val="0F4761" w:themeColor="accent1" w:themeShade="BF"/>
    </w:rPr>
  </w:style>
  <w:style w:type="character" w:styleId="ad">
    <w:name w:val="Intense Reference"/>
    <w:basedOn w:val="a0"/>
    <w:uiPriority w:val="32"/>
    <w:qFormat/>
    <w:rsid w:val="009028A2"/>
    <w:rPr>
      <w:b/>
      <w:bCs/>
      <w:smallCaps/>
      <w:color w:val="0F4761" w:themeColor="accent1" w:themeShade="BF"/>
      <w:spacing w:val="5"/>
    </w:rPr>
  </w:style>
  <w:style w:type="paragraph" w:styleId="ae">
    <w:name w:val="Normal (Web)"/>
    <w:basedOn w:val="a"/>
    <w:uiPriority w:val="99"/>
    <w:semiHidden/>
    <w:unhideWhenUsed/>
    <w:rsid w:val="009028A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ZHANMING#</dc:creator>
  <cp:keywords/>
  <dc:description/>
  <cp:lastModifiedBy>#LIU ZHANMING#</cp:lastModifiedBy>
  <cp:revision>3</cp:revision>
  <dcterms:created xsi:type="dcterms:W3CDTF">2026-10-16T05:12:00Z</dcterms:created>
  <dcterms:modified xsi:type="dcterms:W3CDTF">2026-10-16T06:23:00Z</dcterms:modified>
</cp:coreProperties>
</file>