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MT6102 Earnings Forecast: Next 12 Months (Before OPEX)</w:t>
      </w:r>
    </w:p>
    <w:p>
      <w:pPr/>
      <w:r>
        <w:t xml:space="preserve">Oct 10, 2026</w:t>
      </w:r>
      <w:r>
        <w:t xml:space="preserve"> · </w:t>
      </w:r>
      <w:r>
        <w:t xml:space="preserve">@TONG</w:t>
      </w:r>
    </w:p>
    <w:p>
      <w:pPr>
        <w:pStyle w:val="Heading2"/>
      </w:pPr>
      <w:r>
        <w:t xml:space="preserve">1. Executive Summary</w:t>
      </w:r>
    </w:p>
    <w:p>
      <w:pPr/>
      <w:r>
        <w:t xml:space="preserve">For the 12 months from October 2026 to September 2027, the five-vessel fleet is forecast to earn </w:t>
      </w:r>
      <w:r>
        <w:rPr>
          <w:b/>
        </w:rPr>
        <w:t xml:space="preserve">USD 49.7 million before operating expenses (OPEX)</w:t>
      </w:r>
      <w:r>
        <w:t xml:space="preserve"> in the base case, a </w:t>
      </w:r>
      <w:r>
        <w:rPr>
          <w:b/>
        </w:rPr>
        <w:t xml:space="preserve">19.9% return</w:t>
      </w:r>
      <w:r>
        <w:t xml:space="preserve"> on the USD 250 million capital deployed. The probability-weighted expected earnings are </w:t>
      </w:r>
      <w:r>
        <w:rPr>
          <w:b/>
        </w:rPr>
        <w:t xml:space="preserve">USD 48.5 million (19.4%)</w:t>
      </w:r>
      <w:r>
        <w:t xml:space="preserve">.</w:t>
      </w:r>
    </w:p>
    <w:p>
      <w:pPr/>
      <w:r>
        <w:t xml:space="preserve">Earnings range from USD 43.3 million (17.3%) in the bear case to USD 53.3 million (21.3%) in the bull case. Three vessels are fixed on time charters that contribute USD 32.2 million, or 65% of base-case earnings. As a result, the return does not fall below 17.3% even if both spot markets weaken.</w:t>
      </w:r>
    </w:p>
    <w:p>
      <w:pPr>
        <w:pStyle w:val="Heading2"/>
      </w:pPr>
      <w:r>
        <w:t xml:space="preserve">2. Methodology</w:t>
      </w:r>
    </w:p>
    <w:p>
      <w:pPr/>
      <w:r>
        <w:t xml:space="preserve">Annual earnings for each vessel are calculated with a single formula, and fleet earnings are the sum across the five vessels:</w:t>
      </w:r>
    </w:p>
    <w:p>
      <w:pPr>
        <w:pStyle w:val="Code"/>
      </w:pPr>
      <w:bookmarkStart w:id="1" w:name="bongo_lang_latex_1"/>
      <w:bookmarkEnd w:id="1"/>
      <w:r>
        <w:t xml:space="preserve">\text{Annual earnings} = \text{Daily TC rate or TCE} \times \text{Operating days} \times (1 - \text{Commission rate})</w:t>
      </w:r>
    </w:p>
    <w:p>
      <w:pPr>
        <w:pStyle w:val="ListParagraph"/>
        <w:numPr>
          <w:ilvl w:val="0"/>
          <w:numId w:val="2"/>
        </w:numPr>
      </w:pPr>
      <w:r>
        <w:rPr>
          <w:b/>
        </w:rPr>
        <w:t xml:space="preserve">Operating days of 350 per year.</w:t>
      </w:r>
      <w:r>
        <w:t xml:space="preserve"> This allows 15 off-hire days out of 365 for repairs, surveys and dry-docking. Both MR tankers are approximately five years old and therefore due for their first special survey, which falls within this allowance.</w:t>
      </w:r>
    </w:p>
    <w:p>
      <w:pPr>
        <w:pStyle w:val="ListParagraph"/>
        <w:numPr>
          <w:ilvl w:val="0"/>
          <w:numId w:val="2"/>
        </w:numPr>
      </w:pPr>
      <w:r>
        <w:rPr>
          <w:b/>
        </w:rPr>
        <w:t xml:space="preserve">"Before OPEX" is measured at the time charter equivalent (TCE) level.</w:t>
      </w:r>
      <w:r>
        <w:t xml:space="preserve"> For time-chartered vessels, the charterer pays voyage costs (bunkers, port and canal dues), so the hire rate equals revenue. For spot vessels, TCE is freight revenue net of voyage costs.</w:t>
      </w:r>
    </w:p>
    <w:p>
      <w:pPr>
        <w:pStyle w:val="ListParagraph"/>
        <w:numPr>
          <w:ilvl w:val="0"/>
          <w:numId w:val="2"/>
        </w:numPr>
      </w:pPr>
      <w:r>
        <w:rPr>
          <w:b/>
        </w:rPr>
        <w:t xml:space="preserve">All rates and prices are last-done fixtures and sales</w:t>
      </w:r>
      <w:r>
        <w:t xml:space="preserve"> recorded in the Clarksons Shipping Intelligence Network (SIN), extracted on 12 September 2026.</w:t>
      </w:r>
    </w:p>
    <w:p>
      <w:pPr>
        <w:pStyle w:val="ListParagraph"/>
        <w:numPr>
          <w:ilvl w:val="0"/>
          <w:numId w:val="2"/>
        </w:numPr>
      </w:pPr>
      <w:r>
        <w:rPr>
          <w:b/>
        </w:rPr>
        <w:t xml:space="preserve">Commission is set at 0%,</w:t>
      </w:r>
      <w:r>
        <w:t xml:space="preserve"> so the figures are gross. Applying the industry-standard 3.75% (1.25% brokerage plus 2.5% address commission) reduces every scenario proportionately; base-case earnings would be USD 47.8 million (19.1%).</w:t>
      </w:r>
    </w:p>
    <w:p>
      <w:pPr>
        <w:pStyle w:val="Heading2"/>
      </w:pPr>
      <w:r>
        <w:t xml:space="preserve">3. Vessel-by-Vessel Earnings (Base Case)</w:t>
      </w:r>
    </w:p>
    <w:p>
      <w:pPr/>
      <w:r>
        <w:t xml:space="preserve">In the base case, the fleet earns USD 142,000 per day in aggregate, which over 350 operating days gives USD 49.7 million.</w:t>
      </w:r>
    </w:p>
    <w:p>
      <w:pPr/>
      <w:r>
        <w:rPr>
          <w:i/>
        </w:rPr>
        <w:t xml:space="preserve">Table 1: Base-case earnings by vessel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Vessel</w:t>
            </w:r>
          </w:p>
        </w:tc>
        <w:tc>
          <w:tcPr>
            <w:tcW w:w="1872" w:type="dxa"/>
            <w:shd w:val="clear" w:color="auto" w:fill="F2F2F2"/>
          </w:tcPr>
          <w:p>
            <w:pPr/>
            <w:r>
              <w:t xml:space="preserve">Employment</w:t>
            </w:r>
          </w:p>
        </w:tc>
        <w:tc>
          <w:tcPr>
            <w:tcW w:w="1872" w:type="dxa"/>
            <w:shd w:val="clear" w:color="auto" w:fill="F2F2F2"/>
          </w:tcPr>
          <w:p>
            <w:pPr/>
            <w:r>
              <w:t xml:space="preserve">Rate (USD/day)</w:t>
            </w:r>
          </w:p>
        </w:tc>
        <w:tc>
          <w:tcPr>
            <w:tcW w:w="1872" w:type="dxa"/>
            <w:shd w:val="clear" w:color="auto" w:fill="F2F2F2"/>
          </w:tcPr>
          <w:p>
            <w:pPr/>
            <w:r>
              <w:t xml:space="preserve">12-month earnings (USD m)</w:t>
            </w:r>
          </w:p>
        </w:tc>
        <w:tc>
          <w:tcPr>
            <w:tcW w:w="1872" w:type="dxa"/>
            <w:shd w:val="clear" w:color="auto" w:fill="F2F2F2"/>
          </w:tcPr>
          <w:p>
            <w:pPr/>
            <w:r>
              <w:t xml:space="preserve">Basis (last-done fixture)</w:t>
            </w:r>
          </w:p>
        </w:tc>
      </w:tr>
      <w:tr>
        <w:tc>
          <w:tcPr>
            <w:tcW w:w="1872" w:type="dxa"/>
          </w:tcPr>
          <w:p>
            <w:pPr/>
            <w:r>
              <w:t xml:space="preserve">MR #1 (50k dwt, approx. 5 years old)</w:t>
            </w:r>
          </w:p>
        </w:tc>
        <w:tc>
          <w:tcPr>
            <w:tcW w:w="1872" w:type="dxa"/>
          </w:tcPr>
          <w:p>
            <w:pPr/>
            <w:r>
              <w:t xml:space="preserve">1-year time charter, SUNCOR</w:t>
            </w:r>
          </w:p>
        </w:tc>
        <w:tc>
          <w:tcPr>
            <w:tcW w:w="1872" w:type="dxa"/>
          </w:tcPr>
          <w:p>
            <w:pPr/>
            <w:r>
              <w:t xml:space="preserve">30,000</w:t>
            </w:r>
          </w:p>
        </w:tc>
        <w:tc>
          <w:tcPr>
            <w:tcW w:w="1872" w:type="dxa"/>
          </w:tcPr>
          <w:p>
            <w:pPr/>
            <w:r>
              <w:t xml:space="preserve">10.50</w:t>
            </w:r>
          </w:p>
        </w:tc>
        <w:tc>
          <w:tcPr>
            <w:tcW w:w="1872" w:type="dxa"/>
          </w:tcPr>
          <w:p>
            <w:pPr/>
            <w:r>
              <w:rPr>
                <w:i/>
              </w:rPr>
              <w:t xml:space="preserve">PS Imabari</w:t>
            </w:r>
            <w:r>
              <w:t xml:space="preserve">, SUNCOR, 1 year at USD 30,000/day (17 Aug 2026)</w:t>
            </w:r>
          </w:p>
        </w:tc>
      </w:tr>
      <w:tr>
        <w:tc>
          <w:tcPr>
            <w:tcW w:w="1872" w:type="dxa"/>
          </w:tcPr>
          <w:p>
            <w:pPr/>
            <w:r>
              <w:t xml:space="preserve">MR #2 (50k dwt, approx. 5 years old)</w:t>
            </w:r>
          </w:p>
        </w:tc>
        <w:tc>
          <w:tcPr>
            <w:tcW w:w="1872" w:type="dxa"/>
          </w:tcPr>
          <w:p>
            <w:pPr/>
            <w:r>
              <w:t xml:space="preserve">Spot</w:t>
            </w:r>
          </w:p>
        </w:tc>
        <w:tc>
          <w:tcPr>
            <w:tcW w:w="1872" w:type="dxa"/>
          </w:tcPr>
          <w:p>
            <w:pPr/>
            <w:r>
              <w:t xml:space="preserve">27,000</w:t>
            </w:r>
          </w:p>
        </w:tc>
        <w:tc>
          <w:tcPr>
            <w:tcW w:w="1872" w:type="dxa"/>
          </w:tcPr>
          <w:p>
            <w:pPr/>
            <w:r>
              <w:t xml:space="preserve">9.45</w:t>
            </w:r>
          </w:p>
        </w:tc>
        <w:tc>
          <w:tcPr>
            <w:tcW w:w="1872" w:type="dxa"/>
          </w:tcPr>
          <w:p>
            <w:pPr/>
            <w:r>
              <w:rPr>
                <w:i/>
              </w:rPr>
              <w:t xml:space="preserve">Challenge Pollux</w:t>
            </w:r>
            <w:r>
              <w:t xml:space="preserve">, ExxonMobil, 1 year at USD 27,000/day (17 Aug 2026), used as spot TCE proxy</w:t>
            </w:r>
          </w:p>
        </w:tc>
      </w:tr>
      <w:tr>
        <w:tc>
          <w:tcPr>
            <w:tcW w:w="1872" w:type="dxa"/>
          </w:tcPr>
          <w:p>
            <w:pPr/>
            <w:r>
              <w:t xml:space="preserve">Aframax (109k dwt, built 2018, Japan)</w:t>
            </w:r>
          </w:p>
        </w:tc>
        <w:tc>
          <w:tcPr>
            <w:tcW w:w="1872" w:type="dxa"/>
          </w:tcPr>
          <w:p>
            <w:pPr/>
            <w:r>
              <w:t xml:space="preserve">3-year time charter</w:t>
            </w:r>
          </w:p>
        </w:tc>
        <w:tc>
          <w:tcPr>
            <w:tcW w:w="1872" w:type="dxa"/>
          </w:tcPr>
          <w:p>
            <w:pPr/>
            <w:r>
              <w:t xml:space="preserve">40,000</w:t>
            </w:r>
          </w:p>
        </w:tc>
        <w:tc>
          <w:tcPr>
            <w:tcW w:w="1872" w:type="dxa"/>
          </w:tcPr>
          <w:p>
            <w:pPr/>
            <w:r>
              <w:t xml:space="preserve">14.00</w:t>
            </w:r>
          </w:p>
        </w:tc>
        <w:tc>
          <w:tcPr>
            <w:tcW w:w="1872" w:type="dxa"/>
          </w:tcPr>
          <w:p>
            <w:pPr/>
            <w:r>
              <w:rPr>
                <w:i/>
              </w:rPr>
              <w:t xml:space="preserve">Torm Genesis</w:t>
            </w:r>
            <w:r>
              <w:t xml:space="preserve">, AET, 3 years at USD 40,000/day (31 Aug 2026)</w:t>
            </w:r>
          </w:p>
        </w:tc>
      </w:tr>
      <w:tr>
        <w:tc>
          <w:tcPr>
            <w:tcW w:w="1872" w:type="dxa"/>
          </w:tcPr>
          <w:p>
            <w:pPr/>
            <w:r>
              <w:t xml:space="preserve">Kamsarmax #1 (82k dwt, built 2019, Japan)</w:t>
            </w:r>
          </w:p>
        </w:tc>
        <w:tc>
          <w:tcPr>
            <w:tcW w:w="1872" w:type="dxa"/>
          </w:tcPr>
          <w:p>
            <w:pPr/>
            <w:r>
              <w:t xml:space="preserve">12-month time charter, CNR</w:t>
            </w:r>
          </w:p>
        </w:tc>
        <w:tc>
          <w:tcPr>
            <w:tcW w:w="1872" w:type="dxa"/>
          </w:tcPr>
          <w:p>
            <w:pPr/>
            <w:r>
              <w:t xml:space="preserve">22,000</w:t>
            </w:r>
          </w:p>
        </w:tc>
        <w:tc>
          <w:tcPr>
            <w:tcW w:w="1872" w:type="dxa"/>
          </w:tcPr>
          <w:p>
            <w:pPr/>
            <w:r>
              <w:t xml:space="preserve">7.70</w:t>
            </w:r>
          </w:p>
        </w:tc>
        <w:tc>
          <w:tcPr>
            <w:tcW w:w="1872" w:type="dxa"/>
          </w:tcPr>
          <w:p>
            <w:pPr/>
            <w:r>
              <w:rPr>
                <w:i/>
              </w:rPr>
              <w:t xml:space="preserve">Intensity</w:t>
            </w:r>
            <w:r>
              <w:t xml:space="preserve">, CNR, 12 months at USD 22,000/day (7 Sep 2026)</w:t>
            </w:r>
          </w:p>
        </w:tc>
      </w:tr>
      <w:tr>
        <w:tc>
          <w:tcPr>
            <w:tcW w:w="1872" w:type="dxa"/>
          </w:tcPr>
          <w:p>
            <w:pPr/>
            <w:r>
              <w:t xml:space="preserve">Kamsarmax #2 (82k dwt, built 2015, Japan)</w:t>
            </w:r>
          </w:p>
        </w:tc>
        <w:tc>
          <w:tcPr>
            <w:tcW w:w="1872" w:type="dxa"/>
          </w:tcPr>
          <w:p>
            <w:pPr/>
            <w:r>
              <w:t xml:space="preserve">Spot</w:t>
            </w:r>
          </w:p>
        </w:tc>
        <w:tc>
          <w:tcPr>
            <w:tcW w:w="1872" w:type="dxa"/>
          </w:tcPr>
          <w:p>
            <w:pPr/>
            <w:r>
              <w:t xml:space="preserve">23,000</w:t>
            </w:r>
          </w:p>
        </w:tc>
        <w:tc>
          <w:tcPr>
            <w:tcW w:w="1872" w:type="dxa"/>
          </w:tcPr>
          <w:p>
            <w:pPr/>
            <w:r>
              <w:t xml:space="preserve">8.05</w:t>
            </w:r>
          </w:p>
        </w:tc>
        <w:tc>
          <w:tcPr>
            <w:tcW w:w="1872" w:type="dxa"/>
          </w:tcPr>
          <w:p>
            <w:pPr/>
            <w:r>
              <w:rPr>
                <w:i/>
              </w:rPr>
              <w:t xml:space="preserve">XH Hope</w:t>
            </w:r>
            <w:r>
              <w:t xml:space="preserve">, Cargill, 10–12 months at USD 23,000/day (3 Sep 2026)</w:t>
            </w:r>
          </w:p>
        </w:tc>
      </w:tr>
      <w:tr>
        <w:tc>
          <w:tcPr>
            <w:tcW w:w="1872" w:type="dxa"/>
          </w:tcPr>
          <w:p>
            <w:pPr/>
            <w:r>
              <w:rPr>
                <w:b/>
              </w:rPr>
              <w:t xml:space="preserve">Fleet total</w:t>
            </w:r>
          </w:p>
        </w:tc>
        <w:tc>
          <w:tcPr>
            <w:tcW w:w="1872" w:type="dxa"/>
          </w:tcPr>
          <w:p>
            <w:pPr/>
          </w:p>
        </w:tc>
        <w:tc>
          <w:tcPr>
            <w:tcW w:w="1872" w:type="dxa"/>
          </w:tcPr>
          <w:p>
            <w:pPr/>
            <w:r>
              <w:rPr>
                <w:b/>
              </w:rPr>
              <w:t xml:space="preserve">142,000</w:t>
            </w:r>
          </w:p>
        </w:tc>
        <w:tc>
          <w:tcPr>
            <w:tcW w:w="1872" w:type="dxa"/>
          </w:tcPr>
          <w:p>
            <w:pPr/>
            <w:r>
              <w:rPr>
                <w:b/>
              </w:rPr>
              <w:t xml:space="preserve">49.70</w:t>
            </w:r>
          </w:p>
        </w:tc>
        <w:tc>
          <w:tcPr>
            <w:tcW w:w="1872" w:type="dxa"/>
          </w:tcPr>
          <w:p>
            <w:pPr/>
            <w:r>
              <w:t xml:space="preserve">Return on capital: 49.70 ÷ 250 = </w:t>
            </w:r>
            <w:r>
              <w:rPr>
                <w:b/>
              </w:rPr>
              <w:t xml:space="preserve">19.9%</w:t>
            </w:r>
          </w:p>
        </w:tc>
      </w:tr>
    </w:tbl>
    <w:p>
      <w:pPr/>
      <w:r>
        <w:t xml:space="preserve">For the two spot vessels, the most recent one-year time charter rate for an equivalent vessel is used instead of the prevailing spot TCE. A one-year rate reflects the market's expectation of average earnings over the coming 12 months, is less volatile than daily spot earnings, and is therefore the more conservative basis.</w:t>
      </w:r>
    </w:p>
    <w:p>
      <w:pPr>
        <w:pStyle w:val="Heading2"/>
      </w:pPr>
      <w:r>
        <w:t xml:space="preserve">4. Scenario Analysis and Expected Earnings</w:t>
      </w:r>
    </w:p>
    <w:p>
      <w:pPr/>
      <w:r>
        <w:t xml:space="preserve">The three scenarios differ by only four percentage points of return, because only the two spot vessels are exposed to market rates. The three time-chartered vessels contribute USD 32.2 million in every scenario.</w:t>
      </w:r>
    </w:p>
    <w:p>
      <w:pPr/>
      <w:r>
        <w:rPr>
          <w:i/>
        </w:rPr>
        <w:t xml:space="preserve">Table 2: Scenario assumptions and results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Scenario</w:t>
            </w:r>
          </w:p>
        </w:tc>
        <w:tc>
          <w:tcPr>
            <w:tcW w:w="1337" w:type="dxa"/>
            <w:shd w:val="clear" w:color="auto" w:fill="F2F2F2"/>
          </w:tcPr>
          <w:p>
            <w:pPr/>
            <w:r>
              <w:t xml:space="preserve">Market assumption</w:t>
            </w:r>
          </w:p>
        </w:tc>
        <w:tc>
          <w:tcPr>
            <w:tcW w:w="1337" w:type="dxa"/>
            <w:shd w:val="clear" w:color="auto" w:fill="F2F2F2"/>
          </w:tcPr>
          <w:p>
            <w:pPr/>
            <w:r>
              <w:t xml:space="preserve">MR #2 TCE (USD/day)</w:t>
            </w:r>
          </w:p>
        </w:tc>
        <w:tc>
          <w:tcPr>
            <w:tcW w:w="1337" w:type="dxa"/>
            <w:shd w:val="clear" w:color="auto" w:fill="F2F2F2"/>
          </w:tcPr>
          <w:p>
            <w:pPr/>
            <w:r>
              <w:t xml:space="preserve">Kamsarmax #2 TCE (USD/day)</w:t>
            </w:r>
          </w:p>
        </w:tc>
        <w:tc>
          <w:tcPr>
            <w:tcW w:w="1337" w:type="dxa"/>
            <w:shd w:val="clear" w:color="auto" w:fill="F2F2F2"/>
          </w:tcPr>
          <w:p>
            <w:pPr/>
            <w:r>
              <w:t xml:space="preserve">Fleet earnings (USD m)</w:t>
            </w:r>
          </w:p>
        </w:tc>
        <w:tc>
          <w:tcPr>
            <w:tcW w:w="1337" w:type="dxa"/>
            <w:shd w:val="clear" w:color="auto" w:fill="F2F2F2"/>
          </w:tcPr>
          <w:p>
            <w:pPr/>
            <w:r>
              <w:t xml:space="preserve">Return on capital</w:t>
            </w:r>
          </w:p>
        </w:tc>
        <w:tc>
          <w:tcPr>
            <w:tcW w:w="1337" w:type="dxa"/>
            <w:shd w:val="clear" w:color="auto" w:fill="F2F2F2"/>
          </w:tcPr>
          <w:p>
            <w:pPr/>
            <w:r>
              <w:t xml:space="preserve">Probability</w:t>
            </w:r>
          </w:p>
        </w:tc>
      </w:tr>
      <w:tr>
        <w:tc>
          <w:tcPr>
            <w:tcW w:w="1337" w:type="dxa"/>
          </w:tcPr>
          <w:p>
            <w:pPr/>
            <w:r>
              <w:t xml:space="preserve">Bear</w:t>
            </w:r>
          </w:p>
        </w:tc>
        <w:tc>
          <w:tcPr>
            <w:tcW w:w="1337" w:type="dxa"/>
          </w:tcPr>
          <w:p>
            <w:pPr/>
            <w:r>
              <w:t xml:space="preserve">Middle East ceasefire, sanctions relief or global recession; spot earnings revert to 2025 averages</w:t>
            </w:r>
          </w:p>
        </w:tc>
        <w:tc>
          <w:tcPr>
            <w:tcW w:w="1337" w:type="dxa"/>
          </w:tcPr>
          <w:p>
            <w:pPr/>
            <w:r>
              <w:t xml:space="preserve">19,000</w:t>
            </w:r>
          </w:p>
        </w:tc>
        <w:tc>
          <w:tcPr>
            <w:tcW w:w="1337" w:type="dxa"/>
          </w:tcPr>
          <w:p>
            <w:pPr/>
            <w:r>
              <w:t xml:space="preserve">12,700</w:t>
            </w:r>
          </w:p>
        </w:tc>
        <w:tc>
          <w:tcPr>
            <w:tcW w:w="1337" w:type="dxa"/>
          </w:tcPr>
          <w:p>
            <w:pPr/>
            <w:r>
              <w:t xml:space="preserve">43.3</w:t>
            </w:r>
          </w:p>
        </w:tc>
        <w:tc>
          <w:tcPr>
            <w:tcW w:w="1337" w:type="dxa"/>
          </w:tcPr>
          <w:p>
            <w:pPr/>
            <w:r>
              <w:t xml:space="preserve">17.3%</w:t>
            </w:r>
          </w:p>
        </w:tc>
        <w:tc>
          <w:tcPr>
            <w:tcW w:w="1337" w:type="dxa"/>
          </w:tcPr>
          <w:p>
            <w:pPr/>
            <w:r>
              <w:t xml:space="preserve">30%</w:t>
            </w:r>
          </w:p>
        </w:tc>
      </w:tr>
      <w:tr>
        <w:tc>
          <w:tcPr>
            <w:tcW w:w="1337" w:type="dxa"/>
          </w:tcPr>
          <w:p>
            <w:pPr/>
            <w:r>
              <w:t xml:space="preserve">Base</w:t>
            </w:r>
          </w:p>
        </w:tc>
        <w:tc>
          <w:tcPr>
            <w:tcW w:w="1337" w:type="dxa"/>
          </w:tcPr>
          <w:p>
            <w:pPr/>
            <w:r>
              <w:t xml:space="preserve">Last-done one-year time charter rates persist</w:t>
            </w:r>
          </w:p>
        </w:tc>
        <w:tc>
          <w:tcPr>
            <w:tcW w:w="1337" w:type="dxa"/>
          </w:tcPr>
          <w:p>
            <w:pPr/>
            <w:r>
              <w:t xml:space="preserve">27,000</w:t>
            </w:r>
          </w:p>
        </w:tc>
        <w:tc>
          <w:tcPr>
            <w:tcW w:w="1337" w:type="dxa"/>
          </w:tcPr>
          <w:p>
            <w:pPr/>
            <w:r>
              <w:t xml:space="preserve">23,000</w:t>
            </w:r>
          </w:p>
        </w:tc>
        <w:tc>
          <w:tcPr>
            <w:tcW w:w="1337" w:type="dxa"/>
          </w:tcPr>
          <w:p>
            <w:pPr/>
            <w:r>
              <w:t xml:space="preserve">49.7</w:t>
            </w:r>
          </w:p>
        </w:tc>
        <w:tc>
          <w:tcPr>
            <w:tcW w:w="1337" w:type="dxa"/>
          </w:tcPr>
          <w:p>
            <w:pPr/>
            <w:r>
              <w:t xml:space="preserve">19.9%</w:t>
            </w:r>
          </w:p>
        </w:tc>
        <w:tc>
          <w:tcPr>
            <w:tcW w:w="1337" w:type="dxa"/>
          </w:tcPr>
          <w:p>
            <w:pPr/>
            <w:r>
              <w:t xml:space="preserve">50%</w:t>
            </w:r>
          </w:p>
        </w:tc>
      </w:tr>
      <w:tr>
        <w:tc>
          <w:tcPr>
            <w:tcW w:w="1337" w:type="dxa"/>
          </w:tcPr>
          <w:p>
            <w:pPr/>
            <w:r>
              <w:t xml:space="preserve">Bull</w:t>
            </w:r>
          </w:p>
        </w:tc>
        <w:tc>
          <w:tcPr>
            <w:tcW w:w="1337" w:type="dxa"/>
          </w:tcPr>
          <w:p>
            <w:pPr/>
            <w:r>
              <w:t xml:space="preserve">Current spot strength persists for 12 months</w:t>
            </w:r>
          </w:p>
        </w:tc>
        <w:tc>
          <w:tcPr>
            <w:tcW w:w="1337" w:type="dxa"/>
          </w:tcPr>
          <w:p>
            <w:pPr/>
            <w:r>
              <w:t xml:space="preserve">33,000</w:t>
            </w:r>
          </w:p>
        </w:tc>
        <w:tc>
          <w:tcPr>
            <w:tcW w:w="1337" w:type="dxa"/>
          </w:tcPr>
          <w:p>
            <w:pPr/>
            <w:r>
              <w:t xml:space="preserve">27,300</w:t>
            </w:r>
          </w:p>
        </w:tc>
        <w:tc>
          <w:tcPr>
            <w:tcW w:w="1337" w:type="dxa"/>
          </w:tcPr>
          <w:p>
            <w:pPr/>
            <w:r>
              <w:t xml:space="preserve">53.3</w:t>
            </w:r>
          </w:p>
        </w:tc>
        <w:tc>
          <w:tcPr>
            <w:tcW w:w="1337" w:type="dxa"/>
          </w:tcPr>
          <w:p>
            <w:pPr/>
            <w:r>
              <w:t xml:space="preserve">21.3%</w:t>
            </w:r>
          </w:p>
        </w:tc>
        <w:tc>
          <w:tcPr>
            <w:tcW w:w="1337" w:type="dxa"/>
          </w:tcPr>
          <w:p>
            <w:pPr/>
            <w:r>
              <w:t xml:space="preserve">20%</w:t>
            </w:r>
          </w:p>
        </w:tc>
      </w:tr>
      <w:tr>
        <w:tc>
          <w:tcPr>
            <w:tcW w:w="1337" w:type="dxa"/>
          </w:tcPr>
          <w:p>
            <w:pPr/>
            <w:r>
              <w:rPr>
                <w:b/>
              </w:rPr>
              <w:t xml:space="preserve">Probability-weighted expected value</w:t>
            </w:r>
          </w:p>
        </w:tc>
        <w:tc>
          <w:tcPr>
            <w:tcW w:w="1337" w:type="dxa"/>
          </w:tcPr>
          <w:p>
            <w:pPr/>
          </w:p>
        </w:tc>
        <w:tc>
          <w:tcPr>
            <w:tcW w:w="1337" w:type="dxa"/>
          </w:tcPr>
          <w:p>
            <w:pPr/>
          </w:p>
        </w:tc>
        <w:tc>
          <w:tcPr>
            <w:tcW w:w="1337" w:type="dxa"/>
          </w:tcPr>
          <w:p>
            <w:pPr/>
          </w:p>
        </w:tc>
        <w:tc>
          <w:tcPr>
            <w:tcW w:w="1337" w:type="dxa"/>
          </w:tcPr>
          <w:p>
            <w:pPr/>
            <w:r>
              <w:rPr>
                <w:b/>
              </w:rPr>
              <w:t xml:space="preserve">48.5</w:t>
            </w:r>
          </w:p>
        </w:tc>
        <w:tc>
          <w:tcPr>
            <w:tcW w:w="1337" w:type="dxa"/>
          </w:tcPr>
          <w:p>
            <w:pPr/>
            <w:r>
              <w:rPr>
                <w:b/>
              </w:rPr>
              <w:t xml:space="preserve">19.4%</w:t>
            </w:r>
          </w:p>
        </w:tc>
        <w:tc>
          <w:tcPr>
            <w:tcW w:w="1337" w:type="dxa"/>
          </w:tcPr>
          <w:p>
            <w:pPr/>
            <w:r>
              <w:t xml:space="preserve">100%</w:t>
            </w:r>
          </w:p>
        </w:tc>
      </w:tr>
    </w:tbl>
    <w:p>
      <w:pPr/>
      <w:r>
        <w:t xml:space="preserve">The base case carries the highest weight (50%) because it reflects rates at which the market has most recently transacted. The bear case (30%) is weighted above the bull case (20%) because the rerouting premium arising from disruption in the Strait of Hormuz and the Red Sea could unwind quickly in the event of a ceasefire, and the 2027–28 newbuilding delivery wave will add downward pressure on rates.</w:t>
      </w:r>
    </w:p>
    <w:p>
      <w:pPr/>
      <w:r>
        <w:t xml:space="preserve">Even in the bear case, earnings are only 12.9% below the base case. For reference, after deducting fleet OPEX of USD 12.8 million (USD 36,560 per day for five vessels × 350 days), expected net earnings are approximately USD 35.7 million, a 14.3% return.</w:t>
      </w:r>
    </w:p>
    <w:p>
      <w:pPr>
        <w:pStyle w:val="Heading2"/>
      </w:pPr>
      <w:r>
        <w:t xml:space="preserve">5. Monthly Earnings Profile</w:t>
      </w:r>
    </w:p>
    <w:p>
      <w:pPr/>
      <w:r>
        <w:t xml:space="preserve">In the base case, fleet earnings are USD 3.81–4.22 million per month, of which USD 2.47–2.74 million is secured under time charters. Monthly variation arises solely from the number of calendar days: February (28 days) is the lowest month and 31-day months are the highest. Off-hire days are spread evenly across the year.</w:t>
      </w:r>
    </w:p>
    <w:p>
      <w:pPr/>
      <w:r>
        <w:t xml:space="preserve">The secured time charter hire alone covers at least 2.3 times the fleet's monthly OPEX of approximately USD 1.07 million. This stable cash inflow also offsets the limited cash reserve of USD 5 million retained under the proposal.</w:t>
      </w:r>
    </w:p>
    <w:p>
      <w:pPr>
        <w:pStyle w:val="Heading2"/>
      </w:pPr>
      <w:r>
        <w:t xml:space="preserve">6. Sensitivity Analysis</w:t>
      </w:r>
    </w:p>
    <w:p>
      <w:pPr/>
      <w:r>
        <w:t xml:space="preserve">Each USD 1,000 per day change in the combined TCE of the two spot vessels changes annual fleet earnings by USD 0.35 million, or 0.14 percentage points of return.</w:t>
      </w:r>
    </w:p>
    <w:p>
      <w:pPr/>
      <w:r>
        <w:rPr>
          <w:i/>
        </w:rPr>
        <w:t xml:space="preserve">Table 3: Fleet earnings (USD m) and return on capital by spot TCE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MR #2 TCE \ Kamsarmax #2 TCE (USD/day)</w:t>
            </w:r>
          </w:p>
        </w:tc>
        <w:tc>
          <w:tcPr>
            <w:tcW w:w="2340" w:type="dxa"/>
            <w:shd w:val="clear" w:color="auto" w:fill="F2F2F2"/>
          </w:tcPr>
          <w:p>
            <w:pPr/>
            <w:r>
              <w:t xml:space="preserve">13,000</w:t>
            </w:r>
          </w:p>
        </w:tc>
        <w:tc>
          <w:tcPr>
            <w:tcW w:w="2340" w:type="dxa"/>
            <w:shd w:val="clear" w:color="auto" w:fill="F2F2F2"/>
          </w:tcPr>
          <w:p>
            <w:pPr/>
            <w:r>
              <w:t xml:space="preserve">23,000</w:t>
            </w:r>
          </w:p>
        </w:tc>
        <w:tc>
          <w:tcPr>
            <w:tcW w:w="2340" w:type="dxa"/>
            <w:shd w:val="clear" w:color="auto" w:fill="F2F2F2"/>
          </w:tcPr>
          <w:p>
            <w:pPr/>
            <w:r>
              <w:t xml:space="preserve">31,000</w:t>
            </w:r>
          </w:p>
        </w:tc>
      </w:tr>
      <w:tr>
        <w:tc>
          <w:tcPr>
            <w:tcW w:w="2340" w:type="dxa"/>
          </w:tcPr>
          <w:p>
            <w:pPr/>
            <w:r>
              <w:t xml:space="preserve">15,000</w:t>
            </w:r>
          </w:p>
        </w:tc>
        <w:tc>
          <w:tcPr>
            <w:tcW w:w="2340" w:type="dxa"/>
          </w:tcPr>
          <w:p>
            <w:pPr/>
            <w:r>
              <w:t xml:space="preserve">42.0 (16.8%)</w:t>
            </w:r>
          </w:p>
        </w:tc>
        <w:tc>
          <w:tcPr>
            <w:tcW w:w="2340" w:type="dxa"/>
          </w:tcPr>
          <w:p>
            <w:pPr/>
            <w:r>
              <w:t xml:space="preserve">45.5 (18.2%)</w:t>
            </w:r>
          </w:p>
        </w:tc>
        <w:tc>
          <w:tcPr>
            <w:tcW w:w="2340" w:type="dxa"/>
          </w:tcPr>
          <w:p>
            <w:pPr/>
            <w:r>
              <w:t xml:space="preserve">48.3 (19.3%)</w:t>
            </w:r>
          </w:p>
        </w:tc>
      </w:tr>
      <w:tr>
        <w:tc>
          <w:tcPr>
            <w:tcW w:w="2340" w:type="dxa"/>
          </w:tcPr>
          <w:p>
            <w:pPr/>
            <w:r>
              <w:t xml:space="preserve">27,000</w:t>
            </w:r>
          </w:p>
        </w:tc>
        <w:tc>
          <w:tcPr>
            <w:tcW w:w="2340" w:type="dxa"/>
          </w:tcPr>
          <w:p>
            <w:pPr/>
            <w:r>
              <w:t xml:space="preserve">46.2 (18.5%)</w:t>
            </w:r>
          </w:p>
        </w:tc>
        <w:tc>
          <w:tcPr>
            <w:tcW w:w="2340" w:type="dxa"/>
          </w:tcPr>
          <w:p>
            <w:pPr/>
            <w:r>
              <w:rPr>
                <w:b/>
              </w:rPr>
              <w:t xml:space="preserve">49.7 (19.9%)</w:t>
            </w:r>
          </w:p>
        </w:tc>
        <w:tc>
          <w:tcPr>
            <w:tcW w:w="2340" w:type="dxa"/>
          </w:tcPr>
          <w:p>
            <w:pPr/>
            <w:r>
              <w:t xml:space="preserve">52.5 (21.0%)</w:t>
            </w:r>
          </w:p>
        </w:tc>
      </w:tr>
      <w:tr>
        <w:tc>
          <w:tcPr>
            <w:tcW w:w="2340" w:type="dxa"/>
          </w:tcPr>
          <w:p>
            <w:pPr/>
            <w:r>
              <w:t xml:space="preserve">36,000</w:t>
            </w:r>
          </w:p>
        </w:tc>
        <w:tc>
          <w:tcPr>
            <w:tcW w:w="2340" w:type="dxa"/>
          </w:tcPr>
          <w:p>
            <w:pPr/>
            <w:r>
              <w:t xml:space="preserve">49.4 (19.7%)</w:t>
            </w:r>
          </w:p>
        </w:tc>
        <w:tc>
          <w:tcPr>
            <w:tcW w:w="2340" w:type="dxa"/>
          </w:tcPr>
          <w:p>
            <w:pPr/>
            <w:r>
              <w:t xml:space="preserve">52.9 (21.1%)</w:t>
            </w:r>
          </w:p>
        </w:tc>
        <w:tc>
          <w:tcPr>
            <w:tcW w:w="2340" w:type="dxa"/>
          </w:tcPr>
          <w:p>
            <w:pPr/>
            <w:r>
              <w:t xml:space="preserve">55.7 (22.3%)</w:t>
            </w:r>
          </w:p>
        </w:tc>
      </w:tr>
    </w:tbl>
    <w:p>
      <w:pPr/>
      <w:r>
        <w:t xml:space="preserve">Even if both spot vessels fall to near-historical lows (MR at USD 15,000 per day and Kamsarmax at USD 13,000 per day), the return remains 16.8%. For the return to fall below 15%, the combined spot TCE of the two vessels would need to drop below USD 15,100 per day, an average of under USD 7,600 per vessel.</w:t>
      </w:r>
    </w:p>
    <w:p>
      <w:pPr>
        <w:pStyle w:val="Heading2"/>
      </w:pPr>
      <w:r>
        <w:t xml:space="preserve">7. Freight-Rate Cross-Check: Kamsarmax Voyage TCE</w:t>
      </w:r>
    </w:p>
    <w:p>
      <w:pPr/>
      <w:r>
        <w:t xml:space="preserve">Converting the most recent Kamsarmax spot freight rate into a daily TCE gives approximately USD 32,200 per day, 40% above the USD 23,000 per day base-case assumption. This indicates that the base case is conservative.</w:t>
      </w:r>
    </w:p>
    <w:p>
      <w:pPr/>
      <w:r>
        <w:t xml:space="preserve">Reference fixture: Dalrymple Bay Coal Terminal (Australia) to Visakhapatnam (India), 80,000 tonnes of coal at USD 25.60 per tonne, chartered by SAIL on 10 September 2026.</w:t>
      </w:r>
    </w:p>
    <w:p>
      <w:pPr/>
      <w:r>
        <w:rPr>
          <w:i/>
        </w:rPr>
        <w:t xml:space="preserve">Table 4: Voyage estimate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Gross freight (80,000 t × USD 25.60/t)</w:t>
            </w:r>
          </w:p>
        </w:tc>
        <w:tc>
          <w:tcPr>
            <w:tcW w:w="4680" w:type="dxa"/>
          </w:tcPr>
          <w:p>
            <w:pPr/>
            <w:r>
              <w:t xml:space="preserve">USD 2,048,000</w:t>
            </w:r>
          </w:p>
        </w:tc>
      </w:tr>
      <w:tr>
        <w:tc>
          <w:tcPr>
            <w:tcW w:w="4680" w:type="dxa"/>
          </w:tcPr>
          <w:p>
            <w:pPr/>
            <w:r>
              <w:t xml:space="preserve">Voyage duration (4,600 nm laden at 12.5 knots, 4,600 nm ballast at 13.0 knots, 9 port days)</w:t>
            </w:r>
          </w:p>
        </w:tc>
        <w:tc>
          <w:tcPr>
            <w:tcW w:w="4680" w:type="dxa"/>
          </w:tcPr>
          <w:p>
            <w:pPr/>
            <w:r>
              <w:t xml:space="preserve">39.1 days</w:t>
            </w:r>
          </w:p>
        </w:tc>
      </w:tr>
      <w:tr>
        <w:tc>
          <w:tcPr>
            <w:tcW w:w="4680" w:type="dxa"/>
          </w:tcPr>
          <w:p>
            <w:pPr/>
            <w:r>
              <w:t xml:space="preserve">Bunker cost (27 t/day at sea, 4 t/day in port; VLSFO at USD 650/t)</w:t>
            </w:r>
          </w:p>
        </w:tc>
        <w:tc>
          <w:tcPr>
            <w:tcW w:w="4680" w:type="dxa"/>
          </w:tcPr>
          <w:p>
            <w:pPr/>
            <w:r>
              <w:t xml:space="preserve">USD 551,000</w:t>
            </w:r>
          </w:p>
        </w:tc>
      </w:tr>
      <w:tr>
        <w:tc>
          <w:tcPr>
            <w:tcW w:w="4680" w:type="dxa"/>
          </w:tcPr>
          <w:p>
            <w:pPr/>
            <w:r>
              <w:t xml:space="preserve">Port costs</w:t>
            </w:r>
          </w:p>
        </w:tc>
        <w:tc>
          <w:tcPr>
            <w:tcW w:w="4680" w:type="dxa"/>
          </w:tcPr>
          <w:p>
            <w:pPr/>
            <w:r>
              <w:t xml:space="preserve">USD 160,000</w:t>
            </w:r>
          </w:p>
        </w:tc>
      </w:tr>
      <w:tr>
        <w:tc>
          <w:tcPr>
            <w:tcW w:w="4680" w:type="dxa"/>
          </w:tcPr>
          <w:p>
            <w:pPr/>
            <w:r>
              <w:t xml:space="preserve">Commission (3.75%)</w:t>
            </w:r>
          </w:p>
        </w:tc>
        <w:tc>
          <w:tcPr>
            <w:tcW w:w="4680" w:type="dxa"/>
          </w:tcPr>
          <w:p>
            <w:pPr/>
            <w:r>
              <w:t xml:space="preserve">USD 77,000</w:t>
            </w:r>
          </w:p>
        </w:tc>
      </w:tr>
      <w:tr>
        <w:tc>
          <w:tcPr>
            <w:tcW w:w="4680" w:type="dxa"/>
          </w:tcPr>
          <w:p>
            <w:pPr/>
            <w:r>
              <w:t xml:space="preserve">Net voyage result</w:t>
            </w:r>
          </w:p>
        </w:tc>
        <w:tc>
          <w:tcPr>
            <w:tcW w:w="4680" w:type="dxa"/>
          </w:tcPr>
          <w:p>
            <w:pPr/>
            <w:r>
              <w:t xml:space="preserve">USD 1,260,000</w:t>
            </w:r>
          </w:p>
        </w:tc>
      </w:tr>
      <w:tr>
        <w:tc>
          <w:tcPr>
            <w:tcW w:w="4680" w:type="dxa"/>
          </w:tcPr>
          <w:p>
            <w:pPr/>
            <w:r>
              <w:rPr>
                <w:b/>
              </w:rPr>
              <w:t xml:space="preserve">Voyage TCE (net voyage result ÷ voyage days)</w:t>
            </w:r>
          </w:p>
        </w:tc>
        <w:tc>
          <w:tcPr>
            <w:tcW w:w="4680" w:type="dxa"/>
          </w:tcPr>
          <w:p>
            <w:pPr/>
            <w:r>
              <w:rPr>
                <w:b/>
              </w:rPr>
              <w:t xml:space="preserve">USD 32,200/day</w:t>
            </w:r>
          </w:p>
        </w:tc>
      </w:tr>
    </w:tbl>
    <w:p>
      <w:pPr/>
      <w:r>
        <w:t xml:space="preserve">The estimate is calculated on a round-voyage basis, with the full ballast leg included, and is therefore conservative. Even at a bunker price of USD 900 per tonne, the TCE would be approximately USD 26,800 per day, still above the base-case assumption.</w:t>
      </w:r>
    </w:p>
    <w:p>
      <w:pPr>
        <w:pStyle w:val="Heading2"/>
      </w:pPr>
      <w:r>
        <w:t xml:space="preserve">8. Key Assumptions and Limitations</w:t>
      </w:r>
    </w:p>
    <w:p>
      <w:pPr>
        <w:pStyle w:val="ListParagraph"/>
        <w:numPr>
          <w:ilvl w:val="0"/>
          <w:numId w:val="3"/>
        </w:numPr>
      </w:pPr>
      <w:r>
        <w:rPr>
          <w:b/>
        </w:rPr>
        <w:t xml:space="preserve">Delivery timing.</w:t>
      </w:r>
      <w:r>
        <w:t xml:space="preserve"> All five vessels are assumed to be delivered at the start of October 2026. Each month of delay for a given vessel reduces earnings by approximately one-twelfth of that vessel's annual earnings (for example, about USD 1.17 million for the Aframax).</w:t>
      </w:r>
    </w:p>
    <w:p>
      <w:pPr>
        <w:pStyle w:val="ListParagraph"/>
        <w:numPr>
          <w:ilvl w:val="0"/>
          <w:numId w:val="3"/>
        </w:numPr>
      </w:pPr>
      <w:r>
        <w:rPr>
          <w:b/>
        </w:rPr>
        <w:t xml:space="preserve">Counterparty performance.</w:t>
      </w:r>
      <w:r>
        <w:t xml:space="preserve"> Secured earnings depend on timely hire payment by SUNCOR, an AET-calibre charterer and CNR. First-class charterers were selected specifically to minimise this risk.</w:t>
      </w:r>
    </w:p>
    <w:p>
      <w:pPr>
        <w:pStyle w:val="ListParagraph"/>
        <w:numPr>
          <w:ilvl w:val="0"/>
          <w:numId w:val="3"/>
        </w:numPr>
      </w:pPr>
      <w:r>
        <w:rPr>
          <w:b/>
        </w:rPr>
        <w:t xml:space="preserve">Bear- and bull-case spot assumptions.</w:t>
      </w:r>
      <w:r>
        <w:t xml:space="preserve"> The bear case assumes 2025 average spot earnings and the bull case assumes current spot levels for MR #2 and Kamsarmax #2. These figures should be confirmed against the Clarksons SIN earnings series (e.g. MR series 545055).</w:t>
      </w:r>
    </w:p>
    <w:p>
      <w:pPr>
        <w:pStyle w:val="ListParagraph"/>
        <w:numPr>
          <w:ilvl w:val="0"/>
          <w:numId w:val="3"/>
        </w:numPr>
      </w:pPr>
      <w:r>
        <w:rPr>
          <w:b/>
        </w:rPr>
        <w:t xml:space="preserve">Voyage estimate parameters.</w:t>
      </w:r>
      <w:r>
        <w:t xml:space="preserve"> The bunker price (USD 650 per tonne), voyage distance (4,600 nm) and port costs are estimates used only for the cross-check in Section 7; they do not affect the scenario results.</w:t>
      </w:r>
    </w:p>
    <w:p>
      <w:pPr>
        <w:pStyle w:val="ListParagraph"/>
        <w:numPr>
          <w:ilvl w:val="0"/>
          <w:numId w:val="3"/>
        </w:numPr>
      </w:pPr>
      <w:r>
        <w:rPr>
          <w:b/>
        </w:rPr>
        <w:t xml:space="preserve">Scope.</w:t>
      </w:r>
      <w:r>
        <w:t xml:space="preserve"> Earnings are stated before OPEX and before commission. Financing costs, depreciation and changes in vessel values are excluded.</w:t>
      </w:r>
    </w:p>
    <w:p>
      <w:pPr/>
      <w:r>
        <w:t xml:space="preserve">Detailed calculations and adjustable inputs are provided in the accompanying workbook, MT6102_Earnings_Model.xlsx (Forecast, Monthly, Sensitivity and Voyage_TCE sheets).</w:t>
      </w:r>
    </w:p>
    <w:p>
      <w:pPr/>
      <w:r>
        <w:rPr>
          <w:i/>
        </w:rPr>
        <w:t xml:space="preserve">Source: Clarksons Research, Shipping Intelligence Network, data extracted 12 September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MT6102 Earnings Forecast Next 12 Months (Before OPEX)</dc:title>
  <dc:description>Claude Docs node/8734d437-c3e4@8 docx-w6</dc:description>
  <cp:revision>8</cp:revision>
</cp:coreProperties>
</file>