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color w:val="FF0000"/>
          <w:sz w:val="28"/>
          <w:szCs w:val="28"/>
          <w:lang w:val="en-US" w:eastAsia="zh-CN"/>
        </w:rPr>
        <w:t xml:space="preserve">                       </w:t>
      </w:r>
      <w:r>
        <w:rPr>
          <w:rFonts w:hint="eastAsia"/>
          <w:color w:val="FF0000"/>
          <w:sz w:val="36"/>
          <w:szCs w:val="36"/>
        </w:rPr>
        <w:t>爱旅行项目</w:t>
      </w:r>
    </w:p>
    <w:p>
      <w:pPr>
        <w:rPr>
          <w:rFonts w:hint="eastAsia" w:eastAsiaTheme="minorEastAsia"/>
          <w:sz w:val="28"/>
          <w:szCs w:val="28"/>
          <w:lang w:eastAsia="zh-CN"/>
        </w:rPr>
      </w:pPr>
      <w:r>
        <w:rPr>
          <w:rFonts w:hint="eastAsia"/>
        </w:rPr>
        <w:t xml:space="preserve">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认证</w:t>
      </w:r>
      <w:r>
        <w:rPr>
          <w:rFonts w:hint="eastAsia"/>
          <w:sz w:val="28"/>
          <w:szCs w:val="28"/>
        </w:rPr>
        <w:t>模块</w:t>
      </w:r>
    </w:p>
    <w:p>
      <w:pPr>
        <w:ind w:firstLine="420"/>
        <w:rPr>
          <w:rFonts w:hint="eastAsia"/>
        </w:rPr>
      </w:pPr>
      <w:r>
        <w:rPr>
          <w:rFonts w:hint="eastAsia"/>
          <w:sz w:val="28"/>
          <w:szCs w:val="28"/>
        </w:rPr>
        <w:t>注册</w:t>
      </w:r>
      <w:r>
        <w:rPr>
          <w:rFonts w:hint="eastAsia"/>
        </w:rPr>
        <w:t>（手机,邮箱）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手机注册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用户在使用手机注册时，要输入正确的手机号码。当用户向服务器发送请求，会调用第三方接口发送短信验证码。用户收到后在注册页面输入验证码进一行完成注册。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用户要注册开发者账号，可以在容联云通讯上注册。可以去绑定测试号码，只对该号码发送验证码。发送短信验证码后，用户可以有1分钟接收短信验证手机号。因为短信验证码保存在Redis中，用户调用RedisAPI进</w:t>
      </w:r>
      <w:bookmarkStart w:id="0" w:name="_GoBack"/>
      <w:bookmarkEnd w:id="0"/>
      <w:r>
        <w:rPr>
          <w:rFonts w:hint="eastAsia"/>
          <w:lang w:val="en-US" w:eastAsia="zh-CN"/>
        </w:rPr>
        <w:t>行查询。找到则激活成功否则激活失败。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邮箱注册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用户在使用邮箱注册时，要输入正确的邮箱地址。当用户向服务器发送请求，会向特定的邮箱发送激活邮件。用户收到后在注册页面输入激活码进一行完成注册。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用户可以通过MD5加密生成验证码，使用spring mail API发送邮件，再将激活码保存在Redis中。当用户发送激活邮件，用户可以有30分钟接收邮件并激活用户。因为激活码保存在Redis中，用户调用RedisAPI进行查询。找到则激活成功否则激活失败。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登录</w:t>
      </w:r>
      <w:r>
        <w:rPr>
          <w:rFonts w:hint="eastAsia"/>
          <w:lang w:val="en-US" w:eastAsia="zh-CN"/>
        </w:rPr>
        <w:t>（第三方登录，自注册用户登录）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用户登录验证成功时要生成token,把它保存到Redis中。为了保证token它的唯一性,可以根据不同的客户端生成。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PC端：token：PC-USERCODE[加密]-USERID-CREATIONDATE-RONDEM[6位]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移动端：token：MOBILE-USERCODE[加密]-USERID-CREATIONDATE-RONDEM[6位]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Token也要进行有效期的维护，不同的客户端有效期策略不同。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①PC端：有效期是两小时,如果两小时内没有进行token置换，Redis自动清除该token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②移动端：token永不失效，只有在修改密码后更换token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firstLine="420" w:firstLineChars="200"/>
        <w:rPr>
          <w:rFonts w:hint="eastAsia" w:ascii="宋体" w:hAnsi="宋体" w:eastAsia="宋体" w:cs="宋体"/>
          <w:color w:val="000000"/>
          <w:sz w:val="21"/>
          <w:szCs w:val="21"/>
          <w:lang w:val="en-US"/>
        </w:rPr>
      </w:pPr>
      <w:r>
        <w:rPr>
          <w:rFonts w:hint="eastAsia"/>
          <w:sz w:val="21"/>
          <w:szCs w:val="21"/>
          <w:lang w:val="en-US" w:eastAsia="zh-CN"/>
        </w:rPr>
        <w:t>还要在接口中保存token信息（token,token的生成时间，token的失效时间）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用户还可以进行token置换。注意：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①生成token后的一个小时内不能进行token置换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②生成新的token后,旧的token不能立即失效。可以设置置换后延迟两分钟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注销</w:t>
      </w:r>
    </w:p>
    <w:p>
      <w:pPr>
        <w:ind w:left="420" w:leftChars="20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用户要验证token是否有效，在Redis中查看是否存在该token。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主业务模块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搜索模块</w:t>
      </w:r>
    </w:p>
    <w:p>
      <w:pPr>
        <w:numPr>
          <w:ilvl w:val="0"/>
          <w:numId w:val="1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支付模块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8F0E04"/>
    <w:multiLevelType w:val="singleLevel"/>
    <w:tmpl w:val="668F0E0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3405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2019-02-01T11:03:33Z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