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120"/>
        <w:jc w:val="left"/>
      </w:pPr>
      <w:r>
        <w:rPr>
          <w:rFonts w:ascii="Microsoft YaHei" w:eastAsia="微软雅黑" w:hAnsi="Microsoft YaHei"/>
          <w:b/>
          <w:bCs/>
          <w:color w:val="1A1A1A"/>
          <w:sz w:val="72"/>
          <w:szCs w:val="72"/>
        </w:rPr>
        <w:t xml:space="preserve">PentAGI</w:t>
      </w:r>
    </w:p>
    <w:p>
      <w:pPr>
        <w:spacing w:after="300"/>
        <w:jc w:val="left"/>
      </w:pPr>
      <w:r>
        <w:rPr>
          <w:rFonts w:ascii="Microsoft YaHei" w:eastAsia="微软雅黑" w:hAnsi="Microsoft YaHei"/>
          <w:b/>
          <w:bCs/>
          <w:color w:val="1F5FA9"/>
          <w:sz w:val="44"/>
          <w:szCs w:val="44"/>
        </w:rPr>
        <w:t xml:space="preserve">中文使用手册</w:t>
      </w:r>
    </w:p>
    <w:p>
      <w:pPr>
        <w:pBdr>
          <w:bottom w:val="single" w:color="1F5FA9" w:sz="12" w:space="8"/>
        </w:pBdr>
        <w:spacing w:after="600"/>
        <w:jc w:val="left"/>
      </w:pPr>
      <w:r>
        <w:rPr>
          <w:rFonts w:ascii="Microsoft YaHei" w:eastAsia="微软雅黑" w:hAnsi="Microsoft YaHei"/>
          <w:color w:val="595959"/>
          <w:sz w:val="22"/>
          <w:szCs w:val="22"/>
        </w:rPr>
        <w:t xml:space="preserve">自主渗透测试平台　·　Docker Compose 部署　·　v2.2.0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适用版本：PentAGI 2.2.x（CE）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编写日期：2026 年 10 月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适用范围：单机 Docker 部署、内网访问、中文界面</w:t>
      </w:r>
    </w:p>
    <w:p>
      <w:r>
        <w:br w:type="page"/>
      </w:r>
    </w:p>
    <w:p>
      <w:pPr>
        <w:spacing w:after="120"/>
      </w:pPr>
      <w:r>
        <w:rPr>
          <w:rFonts w:ascii="Microsoft YaHei" w:eastAsia="微软雅黑" w:hAnsi="Microsoft YaHei"/>
          <w:b/>
          <w:bCs/>
          <w:sz w:val="28"/>
          <w:szCs w:val="28"/>
        </w:rPr>
        <w:t xml:space="preserve">目录</w:t>
      </w:r>
    </w:p>
    <w:sdt>
      <w:sdtPr/>
      <w:sdtContent>
        <w:p>
          <w:pPr>
            <w:pStyle w:val="TOC1"/>
            <w:tabs>
              <w:tab w:val="right" w:pos="930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　这是什么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">
            <w:r>
              <w:t xml:space="preserve">1.1　能力边界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">
            <w:r>
              <w:t xml:space="preserve">1.2　和常见工具的区别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">
            <w:r>
              <w:t xml:space="preserve">2　部署架构与资源要求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5">
            <w:r>
              <w:t xml:space="preserve">2.1　最低配置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6">
            <w:r>
              <w:t xml:space="preserve">3　安装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7">
            <w:r>
              <w:t xml:space="preserve">3.1　方式一：官方安装器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8">
            <w:r>
              <w:t xml:space="preserve">3.2　方式二：compose 手动部署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9">
            <w:r>
              <w:t xml:space="preserve">4　首次登录与基础设置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0">
            <w:r>
              <w:t xml:space="preserve">4.1　登录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1">
            <w:r>
              <w:t xml:space="preserve">4.2　界面导览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2">
            <w:r>
              <w:t xml:space="preserve">5　配置模型服务商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3">
            <w:r>
              <w:t xml:space="preserve">5.1　内置服务商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4">
            <w:r>
              <w:t xml:space="preserve">5.2　自定义（OpenAI 兼容）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5">
            <w:r>
              <w:t xml:space="preserve">6　跑第一个任务流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6">
            <w:r>
              <w:t xml:space="preserve">6.1　创建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7">
            <w:r>
              <w:t xml:space="preserve">6.2　执行过程怎么看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8">
            <w:r>
              <w:t xml:space="preserve">6.3　写指令的建议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9">
            <w:r>
              <w:t xml:space="preserve">7　模板、资源库与知识库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0">
            <w:r>
              <w:t xml:space="preserve">7.1　模板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1">
            <w:r>
              <w:t xml:space="preserve">7.2　资源库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2">
            <w:r>
              <w:t xml:space="preserve">7.3　知识库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3">
            <w:r>
              <w:t xml:space="preserve">8　报告与导出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4">
            <w:r>
              <w:t xml:space="preserve">9　日常运维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5">
            <w:r>
              <w:t xml:space="preserve">9.1　启停与状态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6">
            <w:r>
              <w:t xml:space="preserve">9.2　升级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7">
            <w:r>
              <w:t xml:space="preserve">9.3　备份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8">
            <w:r>
              <w:t xml:space="preserve">9.4　日志与资源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9">
            <w:r>
              <w:t xml:space="preserve">10　安全与合规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0">
            <w:r>
              <w:t xml:space="preserve">11　常见问题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1">
            <w:r>
              <w:t xml:space="preserve">11.1　启动时报端口被占用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2">
            <w:r>
              <w:t xml:space="preserve">11.2　镜像拉取很慢或失败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3">
            <w:r>
              <w:t xml:space="preserve">11.3　模型连不上 / 一直重试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4">
            <w:r>
              <w:t xml:space="preserve">11.4　任务卡住或反复调同一个工具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5">
            <w:r>
              <w:t xml:space="preserve">11.5　内存不足 / 容器反复重启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6">
            <w:r>
              <w:t xml:space="preserve">11.6　界面想用中文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7">
            <w:r>
              <w:t xml:space="preserve">附录 A　环境变量速查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8">
            <w:r>
              <w:t xml:space="preserve">附录 B　默认端口与目录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9">
            <w:r>
              <w:t xml:space="preserve">附录 C　参考链接与版本记录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40">
            <w:r>
              <w:t xml:space="preserve">版本记录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20" w:line="300"/>
      </w:pPr>
      <w:bookmarkStart w:name="_Toc1" w:id="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　这是什么</w:t>
      </w:r>
      <w:bookmarkEnd w:id="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PentAGI 是一个可自托管的多 Agent AI 渗透测试平台。你用自然语言描述目标和任务，它在隔离的 Docker 沙箱里调用 nmap、Metasploit、sqlmap 等工具，自己规划步骤、执行、记录，最后给出带漏洞说明和复现步骤的报告。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它不替代渗透测试工程师，定位是“把重复的侦察、验证、记录工作自动化”，适合授权范围内的例行评估、复测、演练前自查。</w:t>
      </w:r>
    </w:p>
    <w:p>
      <w:pPr>
        <w:pStyle w:val="Heading2"/>
        <w:keepNext/>
        <w:spacing w:after="100" w:before="220" w:line="300"/>
      </w:pPr>
      <w:bookmarkStart w:name="_Toc2" w:id="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1.1　能力边界</w:t>
      </w:r>
      <w:bookmarkEnd w:id="2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4839"/>
        <w:gridCol w:w="4467"/>
      </w:tblGrid>
      <w:tr>
        <w:trPr>
          <w:cantSplit/>
          <w:tblHeader/>
        </w:trPr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能做</w:t>
            </w:r>
          </w:p>
        </w:tc>
        <w:tc>
          <w:tcPr>
            <w:tcW w:type="pct" w:w="2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不能做 / 注意事项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Web/API 黑盒测试、内网资产发现、口令与漏洞验证、攻击路径记录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不做破坏性操作；不保证覆盖全部漏洞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把每一步命令、输出、截图留存，便于复盘和出报告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需要人工复核漏洞真实性，避免误报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多 Agent 协作：侦察、执行、总结分工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复杂目标仍需人定边界、盯过程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接入本地或云端大模型（13 种内置服务商 + 任意 OpenAI 兼容端点）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模型能力直接决定效果，弱模型容易绕圈</w:t>
            </w:r>
          </w:p>
        </w:tc>
      </w:tr>
    </w:tbl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仅在获得书面授权的目标上使用。平台会在沙箱里执行真实攻击命令，未经授权使用可能违法。</w:t>
      </w:r>
    </w:p>
    <w:p>
      <w:pPr>
        <w:pStyle w:val="Heading2"/>
        <w:keepNext/>
        <w:spacing w:after="100" w:before="220" w:line="300"/>
      </w:pPr>
      <w:bookmarkStart w:name="_Toc3" w:id="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1.2　和常见工具的区别</w:t>
      </w:r>
      <w:bookmarkEnd w:id="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和扫描器相比，它不是按规则库打点，而是“理解目标 → 决定下一步 → 执行 → 看结果再调整”；和单 Agent 脚本相比，它有任务分解、子任务、记忆和上下文压缩，能跑更长的流程，也更容易在卡住时自我纠偏。</w:t>
      </w:r>
    </w:p>
    <w:p>
      <w:pPr>
        <w:pStyle w:val="Heading1"/>
        <w:keepNext/>
        <w:spacing w:after="160" w:before="320" w:line="300"/>
      </w:pPr>
      <w:bookmarkStart w:name="_Toc4" w:id="4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2　部署架构与资源要求</w:t>
      </w:r>
      <w:bookmarkEnd w:id="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整套服务用 Docker Compose 编排，主要容器如下：</w:t>
      </w:r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839"/>
        <w:gridCol w:w="2420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容器</w:t>
            </w:r>
          </w:p>
        </w:tc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默认端口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主服务：Web UI + API + Agent 调度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8443（HTTPS）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PostgreSQL + 向量扩展，存任务、日志、记忆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scraper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隔离浏览器，抓取网页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pgexporter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数据库指标导出（可选）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127.0.0.1:9187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沙箱容器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每个任务流一个，执行攻击命令，用完销毁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28000–29999（OOB 回调）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5" w:id="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2.1　最低配置</w:t>
      </w:r>
      <w:bookmarkEnd w:id="5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CPU：2 核以上；内存：4 GB 以上（实际跑任务建议 8 GB）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磁盘：20 GB 以上（镜像约 2–3 GB，任务数据持续增长）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系统：Linux x86_64 / arm64，Docker 20.10+ 与 compose 插件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网络：能访问模型 API；内网可访问 8443</w:t>
      </w:r>
    </w:p>
    <w:p>
      <w:pPr>
        <w:pStyle w:val="Heading1"/>
        <w:keepNext/>
        <w:spacing w:after="160" w:before="320" w:line="300"/>
      </w:pPr>
      <w:bookmarkStart w:name="_Toc6" w:id="6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3　安装</w:t>
      </w:r>
      <w:bookmarkEnd w:id="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官方提供交互式安装器，也支持手工 compose。两者最终都是起同一套容器；国内网络下载安装器可能很慢，可以直接用 compose 方式。</w:t>
      </w:r>
    </w:p>
    <w:p>
      <w:pPr>
        <w:pStyle w:val="Heading2"/>
        <w:keepNext/>
        <w:spacing w:after="100" w:before="220" w:line="300"/>
      </w:pPr>
      <w:bookmarkStart w:name="_Toc7" w:id="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3.1　方式一：官方安装器</w:t>
      </w:r>
      <w:bookmarkEnd w:id="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pentagi &amp;&amp; cd 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-fL -O https://pentagi.com/downloads/linux/amd64/installer-latest.zip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unzip installer.zip &amp;&amp; chmod +x installer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./installer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安装器会依次询问：大模型服务商与 Key、搜索服务、监听端口（默认 8443）、管理员账号。</w:t>
      </w:r>
    </w:p>
    <w:p>
      <w:pPr>
        <w:pStyle w:val="Heading2"/>
        <w:keepNext/>
        <w:spacing w:after="100" w:before="220" w:line="300"/>
      </w:pPr>
      <w:bookmarkStart w:name="_Toc8" w:id="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3.2　方式二：compose 手动部署</w:t>
      </w:r>
      <w:bookmarkEnd w:id="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/opt/pentagi &amp;&amp; 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需要的文件：docker-compose.yml、.env、三个 provider 示例 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-O https://raw.githubusercontent.com/vxcontrol/pentagi/main/docker-compose.yml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.env.example .env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docker compose pull &amp;&amp; sudo docker compose up -d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如果宿主机 5432 已被占用（fnOS 自带 PostgreSQL 常见），把 .env 里的 PGVECTOR_LISTEN_PORT 改成 15432，POSTGRES_EXPORTER_LISTEN_PORT 改成 19187，SCRAPER_LISTEN_PORT 改成 19443，再启动。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容器内部通过 docker 网络互相访问（pgvector:5432），宿主机端口只是映射，改掉不影响功能。</w:t>
      </w:r>
    </w:p>
    <w:p>
      <w:pPr>
        <w:pStyle w:val="Heading1"/>
        <w:keepNext/>
        <w:spacing w:after="160" w:before="320" w:line="300"/>
      </w:pPr>
      <w:bookmarkStart w:name="_Toc9" w:id="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4　首次登录与基础设置</w:t>
      </w:r>
      <w:bookmarkEnd w:id="9"/>
    </w:p>
    <w:p>
      <w:pPr>
        <w:pStyle w:val="Heading2"/>
        <w:keepNext/>
        <w:spacing w:after="100" w:before="220" w:line="300"/>
      </w:pPr>
      <w:bookmarkStart w:name="_Toc10" w:id="1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4.1　登录</w:t>
      </w:r>
      <w:bookmarkEnd w:id="10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浏览器打开 https://&lt;服务器IP&gt;:8443。证书是自签的，浏览器会提示不安全，选择继续访问即可。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默认管理员：admin@pentagi.com / admin。首次登录后立即在「设置 → 账户」修改邮箱和密码。</w:t>
      </w:r>
    </w:p>
    <w:p>
      <w:pPr>
        <w:pStyle w:val="Heading2"/>
        <w:keepNext/>
        <w:spacing w:after="100" w:before="220" w:line="300"/>
      </w:pPr>
      <w:bookmarkStart w:name="_Toc11" w:id="1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4.2　界面导览</w:t>
      </w:r>
      <w:bookmarkEnd w:id="11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489"/>
        <w:gridCol w:w="7817"/>
      </w:tblGrid>
      <w:tr>
        <w:trPr>
          <w:cantSplit/>
          <w:tblHeader/>
        </w:trPr>
        <w:tc>
          <w:tcPr>
            <w:tcW w:type="pct" w:w="8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区域</w:t>
            </w:r>
          </w:p>
        </w:tc>
        <w:tc>
          <w:tcPr>
            <w:tcW w:type="pct" w:w="42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仪表盘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任务流数量、Token 用量、成本、工具调用趋势，按周/月/季度看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创建与查看渗透任务，实时看任务分解、Agent 日志、终端输出、截图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模板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把常用的任务描述存成模板，下次一键套用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资源库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上传字典、源码、文档等，任务执行时 Agent 可引用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知识库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沉淀方法论、历史结论，写入向量库供检索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设置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账户、模型服务商、提示词、API 令牌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12" w:id="12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5　配置模型服务商</w:t>
      </w:r>
      <w:bookmarkEnd w:id="1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平台本身不含模型，必须先接入至少一个大模型。入口：设置 → 模型服务商 → 新建服务商。</w:t>
      </w:r>
    </w:p>
    <w:p>
      <w:pPr>
        <w:pStyle w:val="Heading2"/>
        <w:keepNext/>
        <w:spacing w:after="100" w:before="220" w:line="300"/>
      </w:pPr>
      <w:bookmarkStart w:name="_Toc13" w:id="1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5.1　内置服务商</w:t>
      </w:r>
      <w:bookmarkEnd w:id="13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281"/>
        <w:gridCol w:w="2978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服务商</w:t>
            </w:r>
          </w:p>
        </w:tc>
        <w:tc>
          <w:tcPr>
            <w:tcW w:type="pct" w:w="2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填写内容</w:t>
            </w:r>
          </w:p>
        </w:tc>
        <w:tc>
          <w:tcPr>
            <w:tcW w:type="pct" w:w="1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Key；地址默认 https://api.deepseek.com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性价比高，适合入门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 GLM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https://api.z.ai/api/paas/v4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国内直连稳定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Kimi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https://api.moonshot.ai/v1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长上下文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通义千问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Key；DashScope 兼容地址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国内可选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OpenAI / Anthropic / Gemini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对应 Key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需外网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Ollama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本地服务地址，如 http://宿主机IP:11434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无 Key，需显卡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14" w:id="1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5.2　自定义（OpenAI 兼容）</w:t>
      </w:r>
      <w:bookmarkEnd w:id="1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任何提供 /v1/chat/completions 的服务都能接：类型选“自定义”，填 Base URL、Key、模型名。例如 OpenCode 的推理端点：</w:t>
      </w:r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Base URL: https://opencode.ai/inference/openai/v1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模型：glm-5.3 或 kimi-k3（只支持 chat/completions 系列模型）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保存后点“测试”，每个 Agent 角色（顾问、编码、渗透、总结等）可以分别指定模型。省钱做法：主 Agent 用强模型，去重/总结用小模型。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平台会按角色调用模型十几次甚至几十次，“测试”通过不代表复杂任务一定能跑完，先用小目标验证。</w:t>
      </w:r>
    </w:p>
    <w:p>
      <w:pPr>
        <w:pStyle w:val="Heading1"/>
        <w:keepNext/>
        <w:spacing w:after="160" w:before="320" w:line="300"/>
      </w:pPr>
      <w:bookmarkStart w:name="_Toc15" w:id="15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6　跑第一个任务流</w:t>
      </w:r>
      <w:bookmarkEnd w:id="15"/>
    </w:p>
    <w:p>
      <w:pPr>
        <w:pStyle w:val="Heading2"/>
        <w:keepNext/>
        <w:spacing w:after="100" w:before="220" w:line="300"/>
      </w:pPr>
      <w:bookmarkStart w:name="_Toc16" w:id="1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6.1　创建</w:t>
      </w:r>
      <w:bookmarkEnd w:id="1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 → 新建任务流，页面有两种模式：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自动化：给目标和一句话任务，Agent 自主规划并执行，适合“对某站点做黑盒测试”这类目标明确的任务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助手 Agent：对话式，适合边聊边确认、逐步推进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在输入框写清目标，例如：对 http://10.0.0.5:8080 做黑盒渗透测试，重点关注越权、SQL 注入、文件上传；只测试该地址，不要扫描同网段其他主机；输出中文报告。</w:t>
      </w:r>
    </w:p>
    <w:p>
      <w:pPr>
        <w:pStyle w:val="Heading2"/>
        <w:keepNext/>
        <w:spacing w:after="100" w:before="220" w:line="300"/>
      </w:pPr>
      <w:bookmarkStart w:name="_Toc17" w:id="1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6.2　执行过程怎么看</w:t>
      </w:r>
      <w:bookmarkEnd w:id="17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任务页：左侧是任务/子任务树，右侧是当前 Agent 的命令与输出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Agent 日志：每个角色的思考与工具调用，可搜索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终端：沙箱里的真实 shell 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截图：Agent 用浏览器访问目标时抓的页面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随时可以「停止」，结束时点「结束」销毁沙箱</w:t>
      </w:r>
    </w:p>
    <w:p>
      <w:pPr>
        <w:pStyle w:val="Heading2"/>
        <w:keepNext/>
        <w:spacing w:after="100" w:before="220" w:line="300"/>
      </w:pPr>
      <w:bookmarkStart w:name="_Toc18" w:id="1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6.3　写指令的建议</w:t>
      </w:r>
      <w:bookmarkEnd w:id="18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明确边界：只测哪些域名/IP/端口，禁止扫描其他资产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明确禁止项：不删数据、不上传后门、不做拒绝服务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明确产出：要哪些内容（漏洞名称、位置、复现步骤、证据、修复建议）、按什么排序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给凭据：需要登录态时，在指令里写测试账号密码</w:t>
      </w:r>
    </w:p>
    <w:p>
      <w:pPr>
        <w:pStyle w:val="Heading1"/>
        <w:keepNext/>
        <w:spacing w:after="160" w:before="320" w:line="300"/>
      </w:pPr>
      <w:bookmarkStart w:name="_Toc19" w:id="1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7　模板、资源库与知识库</w:t>
      </w:r>
      <w:bookmarkEnd w:id="19"/>
    </w:p>
    <w:p>
      <w:pPr>
        <w:pStyle w:val="Heading2"/>
        <w:keepNext/>
        <w:spacing w:after="100" w:before="220" w:line="300"/>
      </w:pPr>
      <w:bookmarkStart w:name="_Toc20" w:id="2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7.1　模板</w:t>
      </w:r>
      <w:bookmarkEnd w:id="20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把重复使用的任务描述（例如“政务云等保三级 Web 自查”）存成模板，下次新建任务流时直接选，减少重复描述。</w:t>
      </w:r>
    </w:p>
    <w:p>
      <w:pPr>
        <w:pStyle w:val="Heading2"/>
        <w:keepNext/>
        <w:spacing w:after="100" w:before="220" w:line="300"/>
      </w:pPr>
      <w:bookmarkStart w:name="_Toc21" w:id="2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7.2　资源库</w:t>
      </w:r>
      <w:bookmarkEnd w:id="2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上传字典、接口文档、源码包等，Agent 在任务中可以读取。支持文件夹、拖拽上传，单文件 300 MB、单次 2 GB。</w:t>
      </w:r>
    </w:p>
    <w:p>
      <w:pPr>
        <w:pStyle w:val="Heading2"/>
        <w:keepNext/>
        <w:spacing w:after="100" w:before="220" w:line="300"/>
      </w:pPr>
      <w:bookmarkStart w:name="_Toc22" w:id="2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7.3　知识库</w:t>
      </w:r>
      <w:bookmarkEnd w:id="2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把方法论、历史漏洞结论、客户环境说明写成知识条目，平台会向量化，Agent 规划时检索。条目类型：指南、答案、代码等。</w:t>
      </w:r>
    </w:p>
    <w:p>
      <w:pPr>
        <w:pStyle w:val="Heading1"/>
        <w:keepNext/>
        <w:spacing w:after="160" w:before="320" w:line="300"/>
      </w:pPr>
      <w:bookmarkStart w:name="_Toc23" w:id="23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8　报告与导出</w:t>
      </w:r>
      <w:bookmarkEnd w:id="2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任务流跑完后，报告页可以：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网页查看：漏洞列表、证据、攻击链、Token 与成本统计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导出 Markdown / PDF：直接给客户或存档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复制内容：粘到自己的报告模板里二次加工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报告语言跟随指令。中文报告请在任务描述或提示词里明确写“报告与漏洞说明使用简体中文”。</w:t>
      </w:r>
    </w:p>
    <w:p>
      <w:pPr>
        <w:pStyle w:val="Heading1"/>
        <w:keepNext/>
        <w:spacing w:after="160" w:before="320" w:line="300"/>
      </w:pPr>
      <w:bookmarkStart w:name="_Toc24" w:id="24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9　日常运维</w:t>
      </w:r>
      <w:bookmarkEnd w:id="24"/>
    </w:p>
    <w:p>
      <w:pPr>
        <w:pStyle w:val="Heading2"/>
        <w:keepNext/>
        <w:spacing w:after="100" w:before="220" w:line="300"/>
      </w:pPr>
      <w:bookmarkStart w:name="_Toc25" w:id="2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9.1　启停与状态</w:t>
      </w:r>
      <w:bookmarkEnd w:id="25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ps          # 看状态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restart     # 重启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       # 停止（保留数据）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-v     # 停止并删除数据卷（慎用）</w:t>
      </w:r>
    </w:p>
    <w:p>
      <w:pPr>
        <w:pStyle w:val="Heading2"/>
        <w:keepNext/>
        <w:spacing w:after="100" w:before="220" w:line="300"/>
      </w:pPr>
      <w:bookmarkStart w:name="_Toc26" w:id="2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9.2　升级</w:t>
      </w:r>
      <w:bookmarkEnd w:id="26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pull &amp;&amp; docker compose up -d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数据库迁移在启动时自动执行；升级前建议先备份</w:t>
      </w:r>
    </w:p>
    <w:p>
      <w:pPr>
        <w:pStyle w:val="Heading2"/>
        <w:keepNext/>
        <w:spacing w:after="100" w:before="220" w:line="300"/>
      </w:pPr>
      <w:bookmarkStart w:name="_Toc27" w:id="2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9.3　备份</w:t>
      </w:r>
      <w:bookmarkEnd w:id="2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# 备份数据库（任务、报告、记忆都在里面）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exec pgvector pg_dump -U postgres pentagidb &gt; backup-$(date +%F).sql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备份配置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 docker-compose.yml /path/to/backup/</w:t>
      </w:r>
    </w:p>
    <w:p>
      <w:pPr>
        <w:pStyle w:val="Heading2"/>
        <w:keepNext/>
        <w:spacing w:after="100" w:before="220" w:line="300"/>
      </w:pPr>
      <w:bookmarkStart w:name="_Toc28" w:id="2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9.4　日志与资源</w:t>
      </w:r>
      <w:bookmarkEnd w:id="2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docker compose logs -f pentagi        # 主服务日志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stats --no-stream              # 资源占用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system df                      # 镜像/卷占用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单次任务流会拉起沙箱容器，结束时销毁；如果发现沙箱堆积，检查是否有未结束的任务流。</w:t>
      </w:r>
    </w:p>
    <w:p>
      <w:pPr>
        <w:pStyle w:val="Heading1"/>
        <w:keepNext/>
        <w:spacing w:after="160" w:before="320" w:line="300"/>
      </w:pPr>
      <w:bookmarkStart w:name="_Toc29" w:id="2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10　安全与合规</w:t>
      </w:r>
      <w:bookmarkEnd w:id="29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授权：只对书面授权的目标使用，任务描述里写明边界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隔离：沙箱默认不挂宿主机 Docker socket（DOCKER_INSIDE=false）；不要为了图方便打开，历史上曾有因挂载 socket 导致的逃逸漏洞（CVE-2026-14784，2.2.0 已修复）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端口：8443 默认只监听 127.0.0.1，需要局域网访问才改成 0.0.0.0，并用防火墙限制来源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密钥：模型 Key 存在容器环境变量和 .env 里，注意文件权限（chmod 600），不要提交到代码库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数据：任务日志可能含目标敏感信息，导出和共享前先脱敏</w:t>
      </w:r>
    </w:p>
    <w:p>
      <w:pPr>
        <w:pStyle w:val="Heading1"/>
        <w:keepNext/>
        <w:spacing w:after="160" w:before="320" w:line="300"/>
      </w:pPr>
      <w:bookmarkStart w:name="_Toc30" w:id="30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11　常见问题</w:t>
      </w:r>
      <w:bookmarkEnd w:id="30"/>
    </w:p>
    <w:p>
      <w:pPr>
        <w:pStyle w:val="Heading2"/>
        <w:keepNext/>
        <w:spacing w:after="100" w:before="220" w:line="300"/>
      </w:pPr>
      <w:bookmarkStart w:name="_Toc31" w:id="3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11.1　启动时报端口被占用</w:t>
      </w:r>
      <w:bookmarkEnd w:id="3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常见是 5432。改 .env 里的 PGVECTOR_LISTEN_PORT（如 15432）、POSTGRES_EXPORTER_LISTEN_PORT、SCRAPER_LISTEN_PORT 后重新 up -d。</w:t>
      </w:r>
    </w:p>
    <w:p>
      <w:pPr>
        <w:pStyle w:val="Heading2"/>
        <w:keepNext/>
        <w:spacing w:after="100" w:before="220" w:line="300"/>
      </w:pPr>
      <w:bookmarkStart w:name="_Toc32" w:id="3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11.2　镜像拉取很慢或失败</w:t>
      </w:r>
      <w:bookmarkEnd w:id="3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配置 Docker 镜像加速，或先在能正常拉取的机器上 docker save / docker load。pentagi.com 的安装器下载也很慢，可改用 compose 方式。</w:t>
      </w:r>
    </w:p>
    <w:p>
      <w:pPr>
        <w:pStyle w:val="Heading2"/>
        <w:keepNext/>
        <w:spacing w:after="100" w:before="220" w:line="300"/>
      </w:pPr>
      <w:bookmarkStart w:name="_Toc33" w:id="3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11.3　模型连不上 / 一直重试</w:t>
      </w:r>
      <w:bookmarkEnd w:id="3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先在“服务商 → 测试”里验证连通性；确认 Base URL 是否带 /v1、模型名是否存在于该账号；国内访问 OpenAI/Anthropic 需代理。</w:t>
      </w:r>
    </w:p>
    <w:p>
      <w:pPr>
        <w:pStyle w:val="Heading2"/>
        <w:keepNext/>
        <w:spacing w:after="100" w:before="220" w:line="300"/>
      </w:pPr>
      <w:bookmarkStart w:name="_Toc34" w:id="3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11.4　任务卡住或反复调同一个工具</w:t>
      </w:r>
      <w:bookmarkEnd w:id="3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弱模型容易绕圈。换更强的模型；或在设置里提高执行监控强度（EXECUTION_MONITOR_ENABLED）、开启任务规划（AGENT_PLANNING_STEP_ENABLED）。</w:t>
      </w:r>
    </w:p>
    <w:p>
      <w:pPr>
        <w:pStyle w:val="Heading2"/>
        <w:keepNext/>
        <w:spacing w:after="100" w:before="220" w:line="300"/>
      </w:pPr>
      <w:bookmarkStart w:name="_Toc35" w:id="3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11.5　内存不足 / 容器反复重启</w:t>
      </w:r>
      <w:bookmarkEnd w:id="3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沙箱和数据库都吃内存。至少给 8 GB；限制同时运行的任务流数量；关闭不用的 Graphiti、Langfuse 可选组件。</w:t>
      </w:r>
    </w:p>
    <w:p>
      <w:pPr>
        <w:pStyle w:val="Heading2"/>
        <w:keepNext/>
        <w:spacing w:after="100" w:before="220" w:line="300"/>
      </w:pPr>
      <w:bookmarkStart w:name="_Toc36" w:id="3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11.6　界面想用中文</w:t>
      </w:r>
      <w:bookmarkEnd w:id="3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官方无中文界面。可用前端覆盖层方案（挂载翻译脚本，右下角切换 EN/中文），不改镜像、升级后重新挂载即可。</w:t>
      </w:r>
    </w:p>
    <w:p>
      <w:pPr>
        <w:pStyle w:val="Heading1"/>
        <w:keepNext/>
        <w:spacing w:after="160" w:before="320" w:line="300"/>
      </w:pPr>
      <w:bookmarkStart w:name="_Toc37" w:id="37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A　环境变量速查</w:t>
      </w:r>
      <w:bookmarkEnd w:id="37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164"/>
        <w:gridCol w:w="3722"/>
        <w:gridCol w:w="2420"/>
      </w:tblGrid>
      <w:tr>
        <w:trPr>
          <w:cantSplit/>
          <w:tblHeader/>
        </w:trPr>
        <w:tc>
          <w:tcPr>
            <w:tcW w:type="pct" w:w="1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PENTAGI_LISTEN_IP / PORT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监听地址与端口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0.0.0.0 / 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PUBLIC_URL / CORS_ORIGINS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对外访问地址与跨域来源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https://192.0.2.10:8443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DEEPSEEK_API_KEY 等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各服务商密钥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sk-...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LLM_SERVER_URL / KEY / MODEL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自定义 OpenAI 兼容端点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https://.../v1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PENTAGI_POSTGRES_PASSWORD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数据库密码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随机串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DOCKER_PORTS_BASE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 OOB 回调端口起始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DOCKER_INSIDE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沙箱内是否可用 Docker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false（默认）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EXECUTION_MONITOR_ENABLED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执行监控（防绕圈）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AGENT_PLANNING_STEP_ENABLED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任务规划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38" w:id="38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B　默认端口与目录</w:t>
      </w:r>
      <w:bookmarkEnd w:id="38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722"/>
        <w:gridCol w:w="5584"/>
      </w:tblGrid>
      <w:tr>
        <w:trPr>
          <w:cantSplit/>
          <w:tblHeader/>
        </w:trPr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pct" w:w="3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默认值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UI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https://IP:8443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127.0.0.1:5432（容器内 pgvector:5432）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抓取服务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沙箱回调端口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安装目录（compose 方式）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/opt/pentagi 或自定义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默认账号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admin@pentagi.com / admin（首次登录必须改）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39" w:id="3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C　参考链接与版本记录</w:t>
      </w:r>
      <w:bookmarkEnd w:id="39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420"/>
        <w:gridCol w:w="6886"/>
      </w:tblGrid>
      <w:tr>
        <w:trPr>
          <w:cantSplit/>
          <w:tblHeader/>
        </w:trPr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资源</w:t>
            </w:r>
          </w:p>
        </w:tc>
        <w:tc>
          <w:tcPr>
            <w:tcW w:type="pct" w:w="3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地址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GitHub 仓库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https://github.com/vxcontrol/pentagi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官方文档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仓库 README 与 docs 目录（英文）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https://platform.deepseek.com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https://open.bigmodel.cn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Moonshot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https://platform.moonshot.ai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 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https://docs.docker.com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40" w:id="4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版本记录</w:t>
      </w:r>
      <w:bookmarkEnd w:id="40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03"/>
        <w:gridCol w:w="1675"/>
        <w:gridCol w:w="6328"/>
      </w:tblGrid>
      <w:tr>
        <w:trPr>
          <w:cantSplit/>
          <w:tblHeader/>
        </w:trPr>
        <w:tc>
          <w:tcPr>
            <w:tcW w:type="pct" w:w="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pct" w:w="9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pct" w:w="3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2026-10</w:t>
            </w:r>
          </w:p>
        </w:tc>
        <w:tc>
          <w:tcPr>
            <w:tcW w:type="pct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初版：覆盖部署、模型配置、任务流、报告、运维与常见问题</w:t>
            </w:r>
          </w:p>
        </w:tc>
      </w:tr>
    </w:tbl>
    <w:p>
      <w:pPr>
        <w:spacing w:after="100" w:before="60" w:line="300"/>
        <w:jc w:val="both"/>
      </w:pPr>
      <w:r>
        <w:rPr>
          <w:rFonts w:ascii="Microsoft YaHei" w:eastAsia="微软雅黑" w:hAnsi="Microsoft YaHei"/>
          <w:b w:val="false"/>
          <w:bCs w:val="false"/>
          <w:color w:val="595959"/>
          <w:sz w:val="19"/>
          <w:szCs w:val="19"/>
        </w:rPr>
        <w:t xml:space="preserve">本手册基于 PentAGI 2.2.x 官方文档与实际部署整理，界面细节以你运行的版本为准。</w:t>
      </w:r>
    </w:p>
    <w:sectPr>
      <w:headerReference w:type="default" r:id="rId6"/>
      <w:footerReference w:type="default" r:id="rId7"/>
      <w:pgSz w:w="11906" w:h="16838" w:orient="portrait"/>
      <w:pgMar w:top="1300" w:right="1300" w:bottom="1300" w:left="1300" w:header="700" w:footer="7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eastAsia="微软雅黑" w:hAnsi="Microsoft YaHei"/>
        <w:color w:val="808080"/>
        <w:sz w:val="16"/>
        <w:szCs w:val="16"/>
      </w:rPr>
      <w:t xml:space="preserve">第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PAGE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 / 共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NUMPAGES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 w:space="2"/>
      </w:pBdr>
      <w:jc w:val="right"/>
    </w:pPr>
    <w:r>
      <w:rPr>
        <w:rFonts w:ascii="Microsoft YaHei" w:eastAsia="微软雅黑" w:hAnsi="Microsoft YaHei"/>
        <w:color w:val="808080"/>
        <w:sz w:val="16"/>
        <w:szCs w:val="16"/>
      </w:rPr>
      <w:t xml:space="preserve">PentAGI 中文使用手册 · 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微软雅黑" w:hAnsi="Microsoft YaHei"/>
        <w:sz w:val="21"/>
        <w:szCs w:val="21"/>
      </w:rPr>
    </w:rPrDefault>
    <w:pPrDefault>
      <w:pPr>
        <w:spacing w:after="100" w:before="60" w:line="300"/>
        <w:jc w:val="both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 w:line="300"/>
      <w:jc w:val="left"/>
      <w:outlineLvl w:val="0"/>
    </w:pPr>
    <w:rPr>
      <w:rFonts w:ascii="Microsoft YaHei" w:eastAsia="微软雅黑" w:hAnsi="Microsoft YaHei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 w:line="300"/>
      <w:jc w:val="left"/>
      <w:outlineLvl w:val="1"/>
    </w:pPr>
    <w:rPr>
      <w:rFonts w:ascii="Microsoft YaHei" w:eastAsia="微软雅黑" w:hAnsi="Microsoft YaHei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 w:line="300"/>
      <w:jc w:val="left"/>
      <w:outlineLvl w:val="2"/>
    </w:pPr>
    <w:rPr>
      <w:rFonts w:ascii="Microsoft YaHei" w:eastAsia="微软雅黑" w:hAnsi="Microsoft YaHei"/>
      <w:b/>
      <w:bCs/>
      <w:color w:val="333333"/>
      <w:sz w:val="22"/>
      <w:szCs w:val="22"/>
    </w:rPr>
  </w:style>
  <w:style w:type="paragraph" w:styleId="TOC1">
    <w:name w:val="toc 1"/>
    <w:basedOn w:val="Normal"/>
    <w:next w:val="Normal"/>
    <w:pPr>
      <w:tabs>
        <w:tab w:val="right" w:pos="8306" w:leader="dot"/>
      </w:tabs>
      <w:spacing w:after="20" w:before="20" w:line="240"/>
      <w:jc w:val="left"/>
    </w:pPr>
    <w:rPr>
      <w:rFonts w:ascii="Microsoft YaHei" w:eastAsia="微软雅黑" w:hAnsi="Microsoft YaHei"/>
      <w:b/>
      <w:bCs/>
      <w:sz w:val="21"/>
      <w:szCs w:val="21"/>
    </w:rPr>
  </w:style>
  <w:style w:type="paragraph" w:styleId="TOC2">
    <w:name w:val="toc 2"/>
    <w:basedOn w:val="Normal"/>
    <w:next w:val="Normal"/>
    <w:pPr>
      <w:tabs>
        <w:tab w:val="right" w:pos="8306" w:leader="dot"/>
      </w:tabs>
      <w:spacing w:after="0" w:before="0" w:line="240"/>
      <w:ind w:left="300"/>
      <w:jc w:val="left"/>
    </w:pPr>
    <w:rPr>
      <w:rFonts w:ascii="Microsoft YaHei" w:eastAsia="微软雅黑" w:hAnsi="Microsoft YaHei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PentAGI 中文使用手册 v2.2</dc:title>
  <dc:creator>PentAGI 中文手册</dc:creator>
  <cp:lastModifiedBy>Un-named</cp:lastModifiedBy>
  <cp:revision>1</cp:revision>
  <dcterms:created xsi:type="dcterms:W3CDTF">2026-10-24T11:05:03.891Z</dcterms:created>
  <dcterms:modified xsi:type="dcterms:W3CDTF">2026-10-24T11:05:03.894Z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