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FB09" w14:textId="04F4E577" w:rsidR="00C72B05" w:rsidRDefault="00C72B05" w:rsidP="00C72B05">
      <w:pPr>
        <w:jc w:val="center"/>
      </w:pPr>
      <w:r>
        <w:rPr>
          <w:rFonts w:hint="eastAsia"/>
        </w:rPr>
        <w:t>一</w:t>
      </w:r>
      <w:r w:rsidR="00FA7886">
        <w:rPr>
          <w:rFonts w:hint="eastAsia"/>
        </w:rPr>
        <w:t>（模型I</w:t>
      </w:r>
      <w:r w:rsidR="00FA7886">
        <w:t>）</w:t>
      </w:r>
    </w:p>
    <w:p w14:paraId="27412A82" w14:textId="37DFF111" w:rsidR="00DB302B" w:rsidRDefault="00C72B05">
      <w:proofErr w:type="spellStart"/>
      <w:r w:rsidRPr="00C72B05">
        <w:t>Subburaj</w:t>
      </w:r>
      <w:proofErr w:type="spellEnd"/>
      <w:r w:rsidRPr="00C72B05">
        <w:t>, Anitha Sarah, and Stephen B. Bayne. "Analysis of dual polarization battery model for grid applications." 2014 IEEE 36th International Telecommunications Energy Conference (INTELEC). IEEE, 2014.</w:t>
      </w:r>
    </w:p>
    <w:p w14:paraId="386A9F82" w14:textId="77777777" w:rsidR="00C72B05" w:rsidRDefault="00C72B05"/>
    <w:p w14:paraId="63DCD47F" w14:textId="77777777" w:rsidR="00C72B05" w:rsidRDefault="00C72B05"/>
    <w:p w14:paraId="03A95130" w14:textId="1197B301" w:rsidR="00C72B05" w:rsidRDefault="00C72B05">
      <w:r>
        <w:rPr>
          <w:rFonts w:hint="eastAsia"/>
        </w:rPr>
        <w:t>用到电池等效电路建模和双极化模型，这个和我们的建模方法一样，证明我们的方法同样可行；</w:t>
      </w:r>
      <w:r w:rsidR="0064048B">
        <w:rPr>
          <w:rFonts w:hint="eastAsia"/>
        </w:rPr>
        <w:t>论文的新方法是系统建模策略对比，就是串联，但是对我们的论文用处不大。</w:t>
      </w:r>
    </w:p>
    <w:p w14:paraId="35027640" w14:textId="2A36B262" w:rsidR="0064048B" w:rsidRDefault="0064048B">
      <w:r>
        <w:rPr>
          <w:rFonts w:hint="eastAsia"/>
        </w:rPr>
        <w:t>这篇论文可以用来佐证我们论文的双极化模型是合理的，它提供的是工程系统级验证。</w:t>
      </w:r>
    </w:p>
    <w:p w14:paraId="16BCC4BE" w14:textId="77777777" w:rsidR="00C36687" w:rsidRDefault="00C36687"/>
    <w:p w14:paraId="5E99AA2E" w14:textId="77777777" w:rsidR="0064048B" w:rsidRDefault="0064048B" w:rsidP="00C36687">
      <w:pPr>
        <w:jc w:val="center"/>
      </w:pPr>
    </w:p>
    <w:p w14:paraId="6ED590F4" w14:textId="12F090F9" w:rsidR="0064048B" w:rsidRDefault="00C36687" w:rsidP="00C36687">
      <w:pPr>
        <w:jc w:val="center"/>
      </w:pPr>
      <w:r>
        <w:rPr>
          <w:rFonts w:hint="eastAsia"/>
        </w:rPr>
        <w:t>二</w:t>
      </w:r>
      <w:r w:rsidR="00FA7886">
        <w:rPr>
          <w:rFonts w:hint="eastAsia"/>
        </w:rPr>
        <w:t>（模型I</w:t>
      </w:r>
      <w:r w:rsidR="00FA7886">
        <w:t>）</w:t>
      </w:r>
    </w:p>
    <w:p w14:paraId="2043AC7A" w14:textId="7AF082BA" w:rsidR="00C36687" w:rsidRDefault="00C36687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Penghua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et al. "Physics-informed Neural Network for SOC Estimation of Lithium-ion Battery With Dual Polarization Model."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2025 CAA Symposium on Fault Detection, Supervision, and Safety for Technical Processes (SAFEPROCESS)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IEEE, 2025.</w:t>
      </w:r>
    </w:p>
    <w:p w14:paraId="0778AC55" w14:textId="77777777" w:rsidR="00C36687" w:rsidRDefault="00C36687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331AB0B" w14:textId="009AB2E4" w:rsidR="00C36687" w:rsidRDefault="00C36687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用到了等效电路建模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+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参数辨识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+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特征工程，这个支持我们的建模方法。其余方法偏物理，对我们的论文帮助不大。</w:t>
      </w:r>
    </w:p>
    <w:p w14:paraId="6A3B494E" w14:textId="04515DE7" w:rsidR="00C36687" w:rsidRDefault="00C36687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这篇论文可以用来佐证我们论文的双极化模型是合理的。</w:t>
      </w:r>
    </w:p>
    <w:p w14:paraId="594ACCF5" w14:textId="77777777" w:rsidR="00C36687" w:rsidRDefault="00C36687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6293AD3B" w14:textId="081E7163" w:rsidR="00C36687" w:rsidRDefault="00C36687" w:rsidP="00C36687">
      <w:pPr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三</w:t>
      </w:r>
      <w:r w:rsidR="00FA788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（模型</w:t>
      </w:r>
      <w:r w:rsidR="00FA788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I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）</w:t>
      </w:r>
    </w:p>
    <w:p w14:paraId="7C4A643A" w14:textId="7ED4ADF1" w:rsidR="00C36687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Kucinskis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Gints, et al. "Arrhenius plots for Li-ion battery ageing as a function of temperature, C-rate, and ageing state–An experimental study."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Journal of Power Sources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549 (2022): 232129.</w:t>
      </w:r>
    </w:p>
    <w:p w14:paraId="72127B23" w14:textId="77777777" w:rsidR="006D55C0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D2E6689" w14:textId="654FF8A6" w:rsidR="006D55C0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用到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rrhenius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图分析，完全契合我们的建模方法，即温度对电池老化速率的影响。</w:t>
      </w:r>
    </w:p>
    <w:p w14:paraId="3291C118" w14:textId="7AA3CF00" w:rsidR="006D55C0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这篇论文及其地完美们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用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rrhenius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修正内阻的佐证材料！</w:t>
      </w:r>
    </w:p>
    <w:p w14:paraId="22E8872F" w14:textId="77777777" w:rsidR="006D55C0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02BB074" w14:textId="01D89327" w:rsidR="006D55C0" w:rsidRDefault="006D55C0" w:rsidP="006D55C0">
      <w:pPr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四</w:t>
      </w:r>
      <w:r w:rsidR="00FA788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（模型</w:t>
      </w:r>
      <w:r w:rsidR="00FA788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I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）</w:t>
      </w:r>
    </w:p>
    <w:p w14:paraId="200A25F3" w14:textId="7FB187E3" w:rsidR="00C36687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Chen, Zhen, et al. "A hybrid battery degradation model combining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arrhenius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equation and neural network for capacity prediction under time-varying operating conditions."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Reliability Engineering &amp; System Safety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252 (2024): 110471.</w:t>
      </w:r>
    </w:p>
    <w:p w14:paraId="7F7CA07C" w14:textId="77777777" w:rsidR="006D55C0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1FD3AAF" w14:textId="59B7F1D8" w:rsidR="006D55C0" w:rsidRDefault="006D55C0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用到了改进的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rrhenius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容量退化模型，显示引入了温度、充放电倍率、放电深度对退化速率的影响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。很适合佐证我们论文用</w:t>
      </w:r>
      <w:r w:rsidR="00FA7886"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A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rrhenius</w:t>
      </w:r>
      <w:r w:rsidR="00FA7886">
        <w:rPr>
          <w:rFonts w:ascii="Arial" w:hAnsi="Arial" w:cs="Arial"/>
          <w:color w:val="222222"/>
          <w:sz w:val="20"/>
          <w:szCs w:val="20"/>
          <w:shd w:val="clear" w:color="auto" w:fill="FFFFFF"/>
        </w:rPr>
        <w:t>修正内阻的建模方法。</w:t>
      </w:r>
    </w:p>
    <w:p w14:paraId="22EE1C90" w14:textId="77777777" w:rsidR="00FA7886" w:rsidRDefault="00FA7886" w:rsidP="00C3668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983B5A6" w14:textId="28E05F53" w:rsidR="00FA7886" w:rsidRDefault="00FA7886" w:rsidP="00FA7886">
      <w:pPr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五（模型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）</w:t>
      </w:r>
    </w:p>
    <w:p w14:paraId="508F2016" w14:textId="2221FC68" w:rsidR="00FA7886" w:rsidRDefault="00EF37E1" w:rsidP="00FA788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Zeng,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Liteng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et al. "Arrhenius Equation-Based Model to Predict Lithium-Ions Batteries’ Performance."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Journal of Marine Science and Engineering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10.10 (2022): 1553.</w:t>
      </w:r>
    </w:p>
    <w:p w14:paraId="2287F708" w14:textId="77777777" w:rsidR="00FA7886" w:rsidRDefault="00FA7886" w:rsidP="00FA788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46F9626" w14:textId="022A312D" w:rsidR="00C72B05" w:rsidRDefault="00FA7886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用到了温度相关容量衰减建模，即温度效应建模，将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“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可用容量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”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视为放电条件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+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温度的函数</w:t>
      </w:r>
      <w:r w:rsidR="00EF37E1">
        <w:rPr>
          <w:rFonts w:ascii="Arial" w:hAnsi="Arial" w:cs="Arial"/>
          <w:color w:val="222222"/>
          <w:sz w:val="20"/>
          <w:szCs w:val="20"/>
          <w:shd w:val="clear" w:color="auto" w:fill="FFFFFF"/>
        </w:rPr>
        <w:t>。</w:t>
      </w:r>
    </w:p>
    <w:p w14:paraId="3CEB2F58" w14:textId="1ADBD22A" w:rsidR="00EF37E1" w:rsidRDefault="00EF37E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这步用来佐证研究温度对内阻影响的合理性。</w:t>
      </w:r>
    </w:p>
    <w:p w14:paraId="17E5005D" w14:textId="77777777" w:rsidR="00ED135A" w:rsidRDefault="00ED135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B2AB9DE" w14:textId="3FA60B7E" w:rsidR="00ED135A" w:rsidRDefault="00ED135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十（模型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I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>）</w:t>
      </w:r>
    </w:p>
    <w:p w14:paraId="710D3DA4" w14:textId="08713114" w:rsidR="00ED135A" w:rsidRDefault="00ED135A">
      <w:pPr>
        <w:rPr>
          <w:rFonts w:ascii="Segoe UI" w:hAnsi="Segoe UI" w:cs="Segoe UI"/>
          <w:color w:val="060A26"/>
          <w:shd w:val="clear" w:color="auto" w:fill="EBF5FF"/>
        </w:rPr>
      </w:pPr>
      <w:r>
        <w:rPr>
          <w:rFonts w:ascii="Segoe UI" w:hAnsi="Segoe UI" w:cs="Segoe UI"/>
          <w:color w:val="060A26"/>
          <w:shd w:val="clear" w:color="auto" w:fill="EBF5FF"/>
        </w:rPr>
        <w:lastRenderedPageBreak/>
        <w:t xml:space="preserve">Gao, </w:t>
      </w:r>
      <w:proofErr w:type="spellStart"/>
      <w:r>
        <w:rPr>
          <w:rFonts w:ascii="Segoe UI" w:hAnsi="Segoe UI" w:cs="Segoe UI"/>
          <w:color w:val="060A26"/>
          <w:shd w:val="clear" w:color="auto" w:fill="EBF5FF"/>
        </w:rPr>
        <w:t>Chenlu</w:t>
      </w:r>
      <w:proofErr w:type="spellEnd"/>
      <w:r>
        <w:rPr>
          <w:rFonts w:ascii="Segoe UI" w:hAnsi="Segoe UI" w:cs="Segoe UI"/>
          <w:color w:val="060A26"/>
          <w:shd w:val="clear" w:color="auto" w:fill="EBF5FF"/>
        </w:rPr>
        <w:t>, et al. "Approaches for assessing circadian rest-activity patterns using actigraphy in cohort and population-based studies." Current Sleep Medicine Reports 9.4 (2023): 247-256.</w:t>
      </w:r>
    </w:p>
    <w:p w14:paraId="3C884E8D" w14:textId="77777777" w:rsidR="00ED135A" w:rsidRDefault="00ED135A">
      <w:pPr>
        <w:rPr>
          <w:rFonts w:ascii="Segoe UI" w:hAnsi="Segoe UI" w:cs="Segoe UI"/>
          <w:color w:val="060A26"/>
          <w:shd w:val="clear" w:color="auto" w:fill="EBF5FF"/>
        </w:rPr>
      </w:pPr>
    </w:p>
    <w:p w14:paraId="5BA96B77" w14:textId="013F1389" w:rsidR="00ED135A" w:rsidRDefault="00ED135A">
      <w:r w:rsidRPr="00ED135A">
        <w:rPr>
          <w:noProof/>
        </w:rPr>
        <w:drawing>
          <wp:inline distT="0" distB="0" distL="0" distR="0" wp14:anchorId="0E2EA3DF" wp14:editId="102BF412">
            <wp:extent cx="4043045" cy="2483485"/>
            <wp:effectExtent l="0" t="0" r="0" b="0"/>
            <wp:docPr id="72172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E622" w14:textId="77777777" w:rsidR="00ED135A" w:rsidRDefault="00ED135A"/>
    <w:p w14:paraId="6FD89BE8" w14:textId="64DCB0BC" w:rsidR="00ED135A" w:rsidRDefault="00ED135A">
      <w:r>
        <w:rPr>
          <w:rFonts w:hint="eastAsia"/>
        </w:rPr>
        <w:t>十一（模型I</w:t>
      </w:r>
      <w:r>
        <w:t>V</w:t>
      </w:r>
      <w:r>
        <w:rPr>
          <w:rFonts w:hint="eastAsia"/>
        </w:rPr>
        <w:t>）</w:t>
      </w:r>
    </w:p>
    <w:p w14:paraId="355ACBAF" w14:textId="5FC4A71B" w:rsidR="00ED135A" w:rsidRDefault="0091186B">
      <w:pPr>
        <w:rPr>
          <w:rFonts w:ascii="Segoe UI" w:hAnsi="Segoe UI" w:cs="Segoe UI"/>
          <w:color w:val="060A26"/>
          <w:shd w:val="clear" w:color="auto" w:fill="EBF5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Kostakos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Vassilis, et al. "Modelling smartphone usage: a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markov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state transition model."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Proceedings of the 2016 ACM international joint conference on pervasive and ubiquitous computing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2016.</w:t>
      </w:r>
    </w:p>
    <w:p w14:paraId="22B6E74F" w14:textId="395DF7C8" w:rsidR="00ED135A" w:rsidRDefault="00ED135A">
      <w:r w:rsidRPr="00ED135A">
        <w:rPr>
          <w:noProof/>
        </w:rPr>
        <w:drawing>
          <wp:inline distT="0" distB="0" distL="0" distR="0" wp14:anchorId="519D7CE3" wp14:editId="1EBFA65D">
            <wp:extent cx="4329430" cy="2140585"/>
            <wp:effectExtent l="0" t="0" r="0" b="0"/>
            <wp:docPr id="487692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3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13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16E64" w14:textId="77777777" w:rsidR="005642C1" w:rsidRDefault="005642C1" w:rsidP="00ED135A">
      <w:r>
        <w:separator/>
      </w:r>
    </w:p>
  </w:endnote>
  <w:endnote w:type="continuationSeparator" w:id="0">
    <w:p w14:paraId="1EEB8CE0" w14:textId="77777777" w:rsidR="005642C1" w:rsidRDefault="005642C1" w:rsidP="00ED1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59691" w14:textId="77777777" w:rsidR="005642C1" w:rsidRDefault="005642C1" w:rsidP="00ED135A">
      <w:r>
        <w:separator/>
      </w:r>
    </w:p>
  </w:footnote>
  <w:footnote w:type="continuationSeparator" w:id="0">
    <w:p w14:paraId="75C5E87B" w14:textId="77777777" w:rsidR="005642C1" w:rsidRDefault="005642C1" w:rsidP="00ED1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05"/>
    <w:rsid w:val="000D47A7"/>
    <w:rsid w:val="005642C1"/>
    <w:rsid w:val="0064048B"/>
    <w:rsid w:val="006D55C0"/>
    <w:rsid w:val="0082556E"/>
    <w:rsid w:val="0091186B"/>
    <w:rsid w:val="00C36687"/>
    <w:rsid w:val="00C72B05"/>
    <w:rsid w:val="00CC29E7"/>
    <w:rsid w:val="00DB302B"/>
    <w:rsid w:val="00ED135A"/>
    <w:rsid w:val="00EF37E1"/>
    <w:rsid w:val="00FA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18681"/>
  <w15:chartTrackingRefBased/>
  <w15:docId w15:val="{26E2DF03-E607-402C-BD12-4D5A9E81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13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13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13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13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509</Words>
  <Characters>1386</Characters>
  <Application>Microsoft Office Word</Application>
  <DocSecurity>0</DocSecurity>
  <Lines>47</Lines>
  <Paragraphs>26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huzhanshuo2024202860@ruc.edu.cn</dc:creator>
  <cp:keywords/>
  <dc:description/>
  <cp:lastModifiedBy>huzhanshuo2024202860@ruc.edu.cn</cp:lastModifiedBy>
  <cp:revision>3</cp:revision>
  <dcterms:created xsi:type="dcterms:W3CDTF">2026-01-30T09:28:00Z</dcterms:created>
  <dcterms:modified xsi:type="dcterms:W3CDTF">2026-02-01T07:12:00Z</dcterms:modified>
</cp:coreProperties>
</file>