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00" w:after="100" w:line="160" w:lineRule="atLeast"/>
      </w:pPr>
      <w:r>
        <w:rPr>
          <w:rFonts w:ascii="宋体" w:hAnsi="宋体" w:eastAsia="宋体"/>
          <w:b/>
          <w:color w:val="000000"/>
          <w:sz w:val="42"/>
          <w:u w:val="none"/>
        </w:rPr>
        <w:t>清华大学科研简报理学院201703-201905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r>
              <w:rPr>
                <w:b/>
                <w:color w:val="5B9BD5"/>
                <w:sz w:val="30"/>
              </w:rPr>
              <w:t>一、院系概况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600" w:hRule="atLeast"/>
        </w:trPr>
        <w:tc>
          <w:tcPr>
            <w:tcW w:type="dxa" w:w="4320"/>
          </w:tcPr>
          <w:p>
            <w:pPr>
              <w:spacing w:before="40" w:after="120" w:line="600" w:lineRule="exact"/>
            </w:pPr>
            <w:r>
              <w:rPr>
                <w:b/>
                <w:color w:val="ED7D31"/>
                <w:sz w:val="28"/>
              </w:rPr>
              <w:t>国家重点学科</w:t>
            </w:r>
          </w:p>
        </w:tc>
        <w:tc>
          <w:tcPr>
            <w:tcW w:type="dxa" w:w="4320"/>
          </w:tcPr>
          <w:p>
            <w:pPr>
              <w:spacing w:before="40" w:after="120" w:line="600" w:lineRule="exact"/>
            </w:pPr>
            <w:r>
              <w:rPr>
                <w:b/>
                <w:color w:val="ED7D31"/>
                <w:sz w:val="28"/>
              </w:rPr>
              <w:t>评价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600" w:hRule="atLeast"/>
        </w:trPr>
        <w:tc>
          <w:tcPr>
            <w:tcW w:type="dxa" w:w="4320"/>
          </w:tcPr>
          <w:p>
            <w:pPr>
              <w:spacing w:before="40" w:after="120" w:line="600" w:lineRule="exact"/>
            </w:pPr>
            <w:r>
              <w:rPr>
                <w:rFonts w:ascii="微软雅黑" w:hAnsi="微软雅黑" w:eastAsia="微软雅黑"/>
                <w:color w:val="000000"/>
                <w:sz w:val="24"/>
              </w:rPr>
              <w:t>力学</w:t>
            </w:r>
          </w:p>
        </w:tc>
        <w:tc>
          <w:tcPr>
            <w:tcW w:type="dxa" w:w="4320"/>
          </w:tcPr>
          <w:p>
            <w:pPr>
              <w:spacing w:before="40" w:after="120" w:line="600" w:lineRule="exact"/>
            </w:pPr>
            <w:r>
              <w:rPr>
                <w:rFonts w:ascii="微软雅黑" w:hAnsi="微软雅黑" w:eastAsia="微软雅黑"/>
                <w:color w:val="000000"/>
                <w:sz w:val="24"/>
              </w:rPr>
              <w:t xml:space="preserve">A+ </w:t>
            </w:r>
          </w:p>
        </w:tc>
      </w:tr>
      <w:tr>
        <w:trPr>
          <w:trHeight w:val="600" w:hRule="atLeast"/>
        </w:trPr>
        <w:tc>
          <w:tcPr>
            <w:tcW w:type="dxa" w:w="4320"/>
          </w:tcPr>
          <w:p>
            <w:pPr>
              <w:spacing w:before="40" w:after="120" w:line="600" w:lineRule="exact"/>
            </w:pPr>
            <w:r>
              <w:rPr>
                <w:rFonts w:ascii="微软雅黑" w:hAnsi="微软雅黑" w:eastAsia="微软雅黑"/>
                <w:color w:val="000000"/>
                <w:sz w:val="24"/>
              </w:rPr>
              <w:t>化学</w:t>
            </w:r>
          </w:p>
        </w:tc>
        <w:tc>
          <w:tcPr>
            <w:tcW w:type="dxa" w:w="4320"/>
          </w:tcPr>
          <w:p>
            <w:pPr>
              <w:spacing w:before="40" w:after="120" w:line="600" w:lineRule="exact"/>
            </w:pPr>
            <w:r>
              <w:rPr>
                <w:rFonts w:ascii="微软雅黑" w:hAnsi="微软雅黑" w:eastAsia="微软雅黑"/>
                <w:color w:val="000000"/>
                <w:sz w:val="24"/>
              </w:rPr>
              <w:t xml:space="preserve">A+ </w:t>
            </w:r>
          </w:p>
        </w:tc>
      </w:tr>
      <w:tr>
        <w:trPr>
          <w:trHeight w:val="600" w:hRule="atLeast"/>
        </w:trPr>
        <w:tc>
          <w:tcPr>
            <w:tcW w:type="dxa" w:w="4320"/>
          </w:tcPr>
          <w:p>
            <w:pPr>
              <w:spacing w:before="40" w:after="120" w:line="600" w:lineRule="exact"/>
            </w:pPr>
            <w:r>
              <w:rPr>
                <w:rFonts w:ascii="微软雅黑" w:hAnsi="微软雅黑" w:eastAsia="微软雅黑"/>
                <w:color w:val="000000"/>
                <w:sz w:val="24"/>
              </w:rPr>
              <w:t>数学</w:t>
            </w:r>
          </w:p>
        </w:tc>
        <w:tc>
          <w:tcPr>
            <w:tcW w:type="dxa" w:w="4320"/>
          </w:tcPr>
          <w:p>
            <w:pPr>
              <w:spacing w:before="40" w:after="120" w:line="600" w:lineRule="exact"/>
            </w:pPr>
            <w:r>
              <w:rPr>
                <w:rFonts w:ascii="微软雅黑" w:hAnsi="微软雅黑" w:eastAsia="微软雅黑"/>
                <w:color w:val="000000"/>
                <w:sz w:val="24"/>
              </w:rPr>
              <w:t xml:space="preserve">A </w:t>
            </w:r>
          </w:p>
        </w:tc>
      </w:tr>
      <w:tr>
        <w:trPr>
          <w:trHeight w:val="600" w:hRule="atLeast"/>
        </w:trPr>
        <w:tc>
          <w:tcPr>
            <w:tcW w:type="dxa" w:w="4320"/>
          </w:tcPr>
          <w:p>
            <w:pPr>
              <w:spacing w:before="40" w:after="120" w:line="600" w:lineRule="exact"/>
            </w:pPr>
            <w:r>
              <w:rPr>
                <w:rFonts w:ascii="微软雅黑" w:hAnsi="微软雅黑" w:eastAsia="微软雅黑"/>
                <w:color w:val="000000"/>
                <w:sz w:val="24"/>
              </w:rPr>
              <w:t>核科学与技术</w:t>
            </w:r>
          </w:p>
        </w:tc>
        <w:tc>
          <w:tcPr>
            <w:tcW w:type="dxa" w:w="4320"/>
          </w:tcPr>
          <w:p>
            <w:pPr>
              <w:spacing w:before="40" w:after="120" w:line="600" w:lineRule="exact"/>
            </w:pPr>
            <w:r>
              <w:rPr>
                <w:rFonts w:ascii="微软雅黑" w:hAnsi="微软雅黑" w:eastAsia="微软雅黑"/>
                <w:color w:val="000000"/>
                <w:sz w:val="24"/>
              </w:rPr>
              <w:t xml:space="preserve">A+ </w:t>
            </w:r>
          </w:p>
        </w:tc>
      </w:tr>
      <w:tr>
        <w:trPr>
          <w:trHeight w:val="600" w:hRule="atLeast"/>
        </w:trPr>
        <w:tc>
          <w:tcPr>
            <w:tcW w:type="dxa" w:w="4320"/>
          </w:tcPr>
          <w:p>
            <w:pPr>
              <w:spacing w:before="40" w:after="120" w:line="600" w:lineRule="exact"/>
            </w:pPr>
            <w:r>
              <w:rPr>
                <w:rFonts w:ascii="微软雅黑" w:hAnsi="微软雅黑" w:eastAsia="微软雅黑"/>
                <w:color w:val="000000"/>
                <w:sz w:val="24"/>
              </w:rPr>
              <w:t>物理学</w:t>
            </w:r>
          </w:p>
        </w:tc>
        <w:tc>
          <w:tcPr>
            <w:tcW w:type="dxa" w:w="4320"/>
          </w:tcPr>
          <w:p>
            <w:pPr>
              <w:spacing w:before="40" w:after="120" w:line="600" w:lineRule="exact"/>
            </w:pPr>
            <w:r>
              <w:rPr>
                <w:rFonts w:ascii="微软雅黑" w:hAnsi="微软雅黑" w:eastAsia="微软雅黑"/>
                <w:color w:val="000000"/>
                <w:sz w:val="24"/>
              </w:rPr>
              <w:t xml:space="preserve">A 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color w:val="ED7D31"/>
                <w:sz w:val="28"/>
              </w:rPr>
              <w:t>科研平台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color w:val="5B9BD5"/>
                <w:sz w:val="30"/>
              </w:rPr>
              <w:t>二、科研团队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color w:val="ED7D31"/>
                <w:sz w:val="28"/>
              </w:rPr>
              <w:t>项目成员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领军人物</w:t>
            </w:r>
          </w:p>
        </w:tc>
        <w:tc>
          <w:tcPr>
            <w:tcW w:type="dxa" w:w="6912"/>
            <w:gridSpan w:val="4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>曲良体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其他成员</w:t>
            </w:r>
          </w:p>
        </w:tc>
        <w:tc>
          <w:tcPr>
            <w:tcW w:type="dxa" w:w="6912"/>
            <w:gridSpan w:val="4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 xml:space="preserve">吴旭峰 石高全 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color w:val="ED7D31"/>
                <w:sz w:val="28"/>
              </w:rPr>
              <w:t>团队研究方向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>智能制造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color w:val="ED7D31"/>
                <w:sz w:val="28"/>
              </w:rPr>
              <w:t>团队成果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论文成果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>《一种合成聚(2-甲氧基-5-(2'-乙基-己氧基)-对苯乙炔)的新方法》《导电高分子微结构材料》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专利成果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获奖成果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color w:val="ED7D31"/>
                <w:sz w:val="28"/>
              </w:rPr>
              <w:t>项目成员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领军人物</w:t>
            </w:r>
          </w:p>
        </w:tc>
        <w:tc>
          <w:tcPr>
            <w:tcW w:type="dxa" w:w="6912"/>
            <w:gridSpan w:val="4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>尤力(长江学者)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其他成员</w:t>
            </w:r>
          </w:p>
        </w:tc>
        <w:tc>
          <w:tcPr>
            <w:tcW w:type="dxa" w:w="6912"/>
            <w:gridSpan w:val="4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 xml:space="preserve">易俗 李勇 李师群 王力军 段皓 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color w:val="ED7D31"/>
                <w:sz w:val="28"/>
              </w:rPr>
              <w:t>团队研究方向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>智能制造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color w:val="ED7D31"/>
                <w:sz w:val="28"/>
              </w:rPr>
              <w:t>团队成果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论文成果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>《球对称谐振子势阱中两原子的p-波量子亏损理论》《清华大学物理系光学学科的科学研究》《空间运动对原子系综量子比特的影响》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专利成果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获奖成果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color w:val="ED7D31"/>
                <w:sz w:val="28"/>
              </w:rPr>
              <w:t>项目成员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领军人物</w:t>
            </w:r>
          </w:p>
        </w:tc>
        <w:tc>
          <w:tcPr>
            <w:tcW w:type="dxa" w:w="6912"/>
            <w:gridSpan w:val="4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>王训(长江学者,杰出青年)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院士</w:t>
            </w:r>
          </w:p>
        </w:tc>
        <w:tc>
          <w:tcPr>
            <w:tcW w:type="dxa" w:w="6912"/>
            <w:gridSpan w:val="4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 xml:space="preserve">李亚栋 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长江学者</w:t>
            </w:r>
          </w:p>
        </w:tc>
        <w:tc>
          <w:tcPr>
            <w:tcW w:type="dxa" w:w="6912"/>
            <w:gridSpan w:val="4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 xml:space="preserve">李亚栋 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其他成员</w:t>
            </w:r>
          </w:p>
        </w:tc>
        <w:tc>
          <w:tcPr>
            <w:tcW w:type="dxa" w:w="6912"/>
            <w:gridSpan w:val="4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 xml:space="preserve">庄京 樊钦平 彭卿 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color w:val="ED7D31"/>
                <w:sz w:val="28"/>
              </w:rPr>
              <w:t>团队研究方向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>智能制造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color w:val="ED7D31"/>
                <w:sz w:val="28"/>
              </w:rPr>
              <w:t>团队成果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论文成果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>《谈基础化学实验教学改革观念》《纳米TiO2光催化剂的活性与使用寿命》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专利成果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获奖成果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