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1月29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</w:p>
    <w:p>
      <w:pPr>
        <w:pStyle w:val="9"/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en-US" w:eastAsia="zh-CN"/>
        </w:rPr>
        <w:t>a）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menu-close    关闭菜单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="宋体" w:hAnsi="宋体" w:eastAsiaTheme="minorEastAsia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row   用于列表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b）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item-body 对象包含了 list-item 的内容/主体 - 通常是一个或多个 对象。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 xml:space="preserve"> list-item-label对象包含了 list-item 标签 - 通常情况下， 包含数字、字符等。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>list-item 对象用于列表中的每个项。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>list-block对象用于格式化整个列表。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c）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item-thumbnail-left/right 类用于添加左/右侧对齐的缩略图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 xml:space="preserve"> item-button-right 或 item-button-left 类将按钮放在列表项左或右侧。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d）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icon-off  关闭图标</w:t>
      </w:r>
    </w:p>
    <w:p>
      <w:p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>icon-on打开图标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/>
          <w:color w:val="auto"/>
          <w:sz w:val="30"/>
          <w:szCs w:val="30"/>
          <w:lang w:val="zh-CN"/>
        </w:rPr>
        <w:t>ion开头是图标。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e）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searchInputText   搜索输入文本</w:t>
      </w:r>
    </w:p>
    <w:p>
      <w:p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>on-refresh   启动刷新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 xml:space="preserve">    ng-if   用法:取消选中，并移除内容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30"/>
          <w:szCs w:val="30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zh-CN"/>
        </w:rPr>
        <w:t xml:space="preserve">    hide-tabs  隐藏标签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f）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run在js中的用法：创建一个新的容器并运行一个命令。run(function(参数))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Theme="minorEastAsia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/>
          <w:color w:val="auto"/>
          <w:sz w:val="30"/>
          <w:szCs w:val="30"/>
          <w:lang w:val="en-US" w:eastAsia="zh-CN"/>
        </w:rPr>
        <w:t>g）</w:t>
      </w:r>
      <w:r>
        <w:rPr>
          <w:rFonts w:hint="eastAsia" w:ascii="宋体" w:hAnsi="宋体"/>
          <w:color w:val="auto"/>
          <w:sz w:val="30"/>
          <w:szCs w:val="30"/>
          <w:lang w:val="zh-CN"/>
        </w:rPr>
        <w:t>styleDefault    默认样式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4A81B38"/>
    <w:rsid w:val="35B23304"/>
    <w:rsid w:val="36BC3CA6"/>
    <w:rsid w:val="376B194D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2018-01-29T09:37:03Z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