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1906" w:h="16838" w:orient="portrait"/>
      <w:pgMar w:top="1080" w:right="900" w:bottom="1080" w:left="90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marktodocx Integration Test</w:t>
      </w:r>
    </w:p>
    <w:p>
      <w:pPr>
        <w:spacing w:lineRule="auto"/>
      </w:pPr>
      <w:r>
        <w:rPr/>
        <w:t xml:space="preserve">This document exercises all features supported by the marktodocx converter.</w:t>
      </w:r>
    </w:p>
    <w:p>
      <w:pPr>
        <w:pStyle w:val="Heading2"/>
        <w:spacing w:lineRule="auto"/>
      </w:pPr>
      <w:r>
        <w:rPr/>
        <w:t xml:space="preserve">Text Formatting</w:t>
      </w:r>
    </w:p>
    <w:p>
      <w:pPr>
        <w:spacing w:lineRule="auto"/>
      </w:pPr>
      <w:r>
        <w:rPr/>
        <w:t xml:space="preserve">This paragraph contains </w:t>
      </w:r>
      <w:r>
        <w:rPr>
          <w:b/>
        </w:rPr>
        <w:t xml:space="preserve">bold text</w:t>
      </w:r>
      <w:r>
        <w:rPr/>
        <w:t xml:space="preserve">, </w:t>
      </w:r>
      <w:r>
        <w:rPr/>
        <w:t xml:space="preserve">italic text</w:t>
      </w:r>
      <w:r>
        <w:rPr/>
        <w:t xml:space="preserve">, </w:t>
      </w:r>
      <w:r>
        <w:rPr>
          <w:b/>
        </w:rPr>
        <w:t xml:space="preserve">bold italic</w:t>
      </w:r>
      <w:r>
        <w:rPr/>
        <w:t xml:space="preserve">, and </w:t>
      </w:r>
      <w:r>
        <w:rPr>
          <w:i/>
          <w:color w:val="24292f"/>
          <w:shd w:val="clear" w:fill="efefef"/>
        </w:rPr>
        <w:t xml:space="preserve">inline code</w:t>
      </w:r>
      <w:r>
        <w:rPr/>
        <w:t xml:space="preserve">. It also has a </w:t>
      </w:r>
      <w:hyperlink r:id="rId6">
        <w:r>
          <w:rPr>
            <w:rStyle w:val="Hyperlink"/>
          </w:rPr>
          <w:t xml:space="preserve">link</w:t>
        </w:r>
      </w:hyperlink>
      <w:r>
        <w:rPr/>
        <w:t xml:space="preserve">.</w:t>
      </w:r>
    </w:p>
    <w:p>
      <w:pPr>
        <w:pStyle w:val="Heading2"/>
        <w:spacing w:lineRule="auto"/>
      </w:pPr>
      <w:r>
        <w:rPr/>
        <w:t xml:space="preserve">Headings</w:t>
      </w:r>
    </w:p>
    <w:p>
      <w:pPr>
        <w:pStyle w:val="Heading3"/>
        <w:spacing w:lineRule="auto"/>
      </w:pPr>
      <w:r>
        <w:rPr/>
        <w:t xml:space="preserve">Third Level</w:t>
      </w:r>
    </w:p>
    <w:p>
      <w:pPr>
        <w:pStyle w:val="Heading4"/>
        <w:spacing w:lineRule="auto"/>
      </w:pPr>
      <w:r>
        <w:rPr/>
        <w:t xml:space="preserve">Fourth Level</w:t>
      </w:r>
    </w:p>
    <w:p>
      <w:pPr>
        <w:pStyle w:val="Heading5"/>
        <w:spacing w:lineRule="auto"/>
      </w:pPr>
      <w:r>
        <w:rPr/>
        <w:t xml:space="preserve">Fifth Level</w:t>
      </w:r>
    </w:p>
    <w:p>
      <w:pPr>
        <w:pStyle w:val="Heading2"/>
        <w:spacing w:lineRule="auto"/>
      </w:pPr>
      <w:r>
        <w:rPr/>
        <w:t xml:space="preserve">Lists</w:t>
      </w:r>
    </w:p>
    <w:p>
      <w:pPr>
        <w:pStyle w:val="Heading3"/>
        <w:spacing w:lineRule="auto"/>
      </w:pPr>
      <w:r>
        <w:rPr/>
        <w:t xml:space="preserve">Unordered List</w:t>
      </w:r>
    </w:p>
    <w:p>
      <w:pPr>
        <w:numPr>
          <w:ilvl w:val="0"/>
          <w:numId w:val="1"/>
        </w:numPr>
        <w:spacing w:lineRule="auto"/>
      </w:pPr>
      <w:r>
        <w:rPr/>
        <w:t xml:space="preserve">First item</w:t>
      </w:r>
    </w:p>
    <w:p>
      <w:pPr>
        <w:numPr>
          <w:ilvl w:val="0"/>
          <w:numId w:val="1"/>
        </w:numPr>
        <w:spacing w:lineRule="auto"/>
      </w:pPr>
      <w:r>
        <w:rPr/>
        <w:t xml:space="preserve">Second item with </w:t>
      </w:r>
      <w:r>
        <w:rPr>
          <w:b/>
        </w:rPr>
        <w:t xml:space="preserve">bold</w:t>
      </w:r>
    </w:p>
    <w:p>
      <w:pPr>
        <w:numPr>
          <w:ilvl w:val="1"/>
          <w:numId w:val="2"/>
        </w:numPr>
        <w:spacing w:lineRule="auto"/>
      </w:pPr>
      <w:r>
        <w:rPr/>
        <w:t xml:space="preserve">Nested item A</w:t>
      </w:r>
    </w:p>
    <w:p>
      <w:pPr>
        <w:numPr>
          <w:ilvl w:val="1"/>
          <w:numId w:val="2"/>
        </w:numPr>
        <w:spacing w:lineRule="auto"/>
      </w:pPr>
      <w:r>
        <w:rPr/>
        <w:t xml:space="preserve">Nested item B</w:t>
      </w:r>
    </w:p>
    <w:p>
      <w:pPr>
        <w:numPr>
          <w:ilvl w:val="0"/>
          <w:numId w:val="1"/>
        </w:numPr>
        <w:spacing w:lineRule="auto"/>
      </w:pPr>
      <w:r>
        <w:rPr/>
        <w:t xml:space="preserve">Third item with </w:t>
      </w:r>
      <w:r>
        <w:rPr>
          <w:i/>
          <w:color w:val="24292f"/>
          <w:shd w:val="clear" w:fill="efefef"/>
        </w:rPr>
        <w:t xml:space="preserve">inline code</w:t>
      </w:r>
    </w:p>
    <w:p>
      <w:pPr>
        <w:pStyle w:val="Heading3"/>
        <w:spacing w:lineRule="auto"/>
      </w:pPr>
      <w:r>
        <w:rPr/>
        <w:t xml:space="preserve">Ordered List</w:t>
      </w:r>
    </w:p>
    <w:p>
      <w:pPr>
        <w:numPr>
          <w:ilvl w:val="0"/>
          <w:numId w:val="3"/>
        </w:numPr>
        <w:spacing w:lineRule="auto"/>
      </w:pPr>
      <w:r>
        <w:rPr/>
        <w:t xml:space="preserve">Step one</w:t>
      </w:r>
    </w:p>
    <w:p>
      <w:pPr>
        <w:numPr>
          <w:ilvl w:val="0"/>
          <w:numId w:val="3"/>
        </w:numPr>
        <w:spacing w:lineRule="auto"/>
      </w:pPr>
      <w:r>
        <w:rPr/>
        <w:t xml:space="preserve">Step two </w:t>
      </w:r>
    </w:p>
    <w:p>
      <w:pPr>
        <w:numPr>
          <w:ilvl w:val="1"/>
          <w:numId w:val="4"/>
        </w:numPr>
        <w:spacing w:lineRule="auto"/>
      </w:pPr>
      <w:r>
        <w:rPr/>
        <w:t xml:space="preserve">Sub-step 2a</w:t>
      </w:r>
    </w:p>
    <w:p>
      <w:pPr>
        <w:numPr>
          <w:ilvl w:val="1"/>
          <w:numId w:val="4"/>
        </w:numPr>
        <w:spacing w:lineRule="auto"/>
      </w:pPr>
      <w:r>
        <w:rPr/>
        <w:t xml:space="preserve">Sub-step 2b</w:t>
      </w:r>
    </w:p>
    <w:p>
      <w:pPr>
        <w:numPr>
          <w:ilvl w:val="0"/>
          <w:numId w:val="3"/>
        </w:numPr>
        <w:spacing w:lineRule="auto"/>
      </w:pPr>
      <w:r>
        <w:rPr/>
        <w:t xml:space="preserve">Step three</w:t>
      </w:r>
    </w:p>
    <w:p>
      <w:pPr>
        <w:pStyle w:val="Heading2"/>
        <w:spacing w:lineRule="auto"/>
      </w:pPr>
      <w:r>
        <w:rPr/>
        <w:t xml:space="preserve">Blockquote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106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0106"/>
      </w:tblGrid>
      <w:tr>
        <w:trPr/>
        <w:tc>
          <w:tcPr>
            <w:shd w:val="clear" w:fill="efefef"/>
            <w:vAlign w:val="top"/>
            <w:tcBorders>
              <w:top w:val="single" w:sz="none" w:space="0" w:color="000000"/>
              <w:left w:val="single" w:sz="24" w:space="0" w:color="000000"/>
              <w:bottom w:val="single" w:sz="none" w:space="0" w:color="000000"/>
              <w:right w:val="single" w:sz="none" w:space="0" w:color="000000"/>
            </w:tcBorders>
          </w:tcPr>
          <w:p>
            <w:pPr>
              <w:spacing w:lineRule="auto"/>
            </w:pPr>
            <w:r>
              <w:rPr>
                <w:color w:val="334155"/>
              </w:rPr>
              <w:t xml:space="preserve">This is a blockquote with </w:t>
            </w:r>
            <w:r>
              <w:rPr>
                <w:color w:val="334155"/>
                <w:b/>
              </w:rPr>
              <w:t xml:space="preserve">bold</w:t>
            </w:r>
            <w:r>
              <w:rPr>
                <w:color w:val="334155"/>
              </w:rPr>
              <w:t xml:space="preserve"> and </w:t>
            </w:r>
            <w:r>
              <w:rPr>
                <w:color w:val="334155"/>
              </w:rPr>
              <w:t xml:space="preserve">italic</w:t>
            </w:r>
            <w:r>
              <w:rPr>
                <w:color w:val="334155"/>
              </w:rPr>
              <w:t xml:space="preserve"> text.</w:t>
            </w:r>
          </w:p>
          <w:p>
            <w:pPr>
              <w:spacing w:lineRule="auto"/>
            </w:pPr>
            <w:r>
              <w:rPr>
                <w:color w:val="334155"/>
              </w:rPr>
              <w:t xml:space="preserve">It can span multiple lines.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Horizontal Rule</w:t>
      </w:r>
    </w:p>
    <w:p>
      <w:pPr>
        <w:pStyle w:val="Heading2"/>
        <w:spacing w:lineRule="auto"/>
      </w:pPr>
      <w:r>
        <w:rPr/>
        <w:t xml:space="preserve">Code Blocks</w:t>
      </w:r>
    </w:p>
    <w:p>
      <w:pPr>
        <w:pStyle w:val="Heading3"/>
        <w:spacing w:lineRule="auto"/>
      </w:pPr>
      <w:r>
        <w:rPr/>
        <w:t xml:space="preserve">JavaScript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106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0106"/>
      </w:tblGrid>
      <w:tr>
        <w:trPr/>
        <w:tc>
          <w:tcPr>
            <w:shd w:val="clear" w:fill="f0f0f0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lineRule="auto"/>
            </w:pPr>
            <w:r>
              <w:rPr>
                <w:color w:val="cf222e"/>
              </w:rPr>
              <w:t xml:space="preserve">function</w:t>
            </w:r>
            <w:r>
              <w:rPr>
                <w:color w:val="24292f"/>
              </w:rPr>
              <w:t xml:space="preserve"> </w:t>
            </w:r>
            <w:r>
              <w:rPr>
                <w:color w:val="8250df"/>
              </w:rPr>
              <w:t xml:space="preserve">greet</w:t>
            </w:r>
            <w:r>
              <w:rPr>
                <w:color w:val="24292f"/>
              </w:rPr>
              <w:t xml:space="preserve">(</w:t>
            </w:r>
            <w:r>
              <w:rPr>
                <w:color w:val="953800"/>
              </w:rPr>
              <w:t xml:space="preserve">name</w:t>
            </w:r>
            <w:r>
              <w:rPr>
                <w:color w:val="24292f"/>
              </w:rPr>
              <w:t xml:space="preserve">) {</w:t>
            </w:r>
          </w:p>
          <w:p>
            <w:pPr>
              <w:spacing w:lineRule="auto"/>
            </w:pPr>
            <w:r>
              <w:rPr>
                <w:color w:val="24292f"/>
              </w:rPr>
              <w:t xml:space="preserve">  </w:t>
            </w:r>
            <w:r>
              <w:rPr>
                <w:color w:val="cf222e"/>
              </w:rPr>
              <w:t xml:space="preserve">const</w:t>
            </w:r>
            <w:r>
              <w:rPr>
                <w:color w:val="24292f"/>
              </w:rPr>
              <w:t xml:space="preserve"> message = </w:t>
            </w:r>
            <w:r>
              <w:rPr>
                <w:color w:val="0a3069"/>
              </w:rPr>
              <w:t xml:space="preserve">`Hello, </w:t>
            </w:r>
            <w:r>
              <w:rPr>
                <w:color w:val="0550ae"/>
              </w:rPr>
              <w:t xml:space="preserve">${name}</w:t>
            </w:r>
            <w:r>
              <w:rPr>
                <w:color w:val="0a3069"/>
              </w:rPr>
              <w:t xml:space="preserve">!`</w:t>
            </w:r>
            <w:r>
              <w:rPr>
                <w:color w:val="24292f"/>
              </w:rPr>
              <w:t xml:space="preserve">;</w:t>
            </w:r>
          </w:p>
          <w:p>
            <w:pPr>
              <w:spacing w:lineRule="auto"/>
            </w:pPr>
            <w:r>
              <w:rPr>
                <w:color w:val="24292f"/>
              </w:rPr>
              <w:t xml:space="preserve">  </w:t>
            </w:r>
            <w:r>
              <w:rPr>
                <w:color w:val="cf222e"/>
              </w:rPr>
              <w:t xml:space="preserve">console</w:t>
            </w:r>
            <w:r>
              <w:rPr>
                <w:color w:val="24292f"/>
              </w:rPr>
              <w:t xml:space="preserve">.</w:t>
            </w:r>
            <w:r>
              <w:rPr>
                <w:color w:val="8250df"/>
              </w:rPr>
              <w:t xml:space="preserve">log</w:t>
            </w:r>
            <w:r>
              <w:rPr>
                <w:color w:val="24292f"/>
              </w:rPr>
              <w:t xml:space="preserve">(message);</w:t>
            </w:r>
          </w:p>
          <w:p>
            <w:pPr>
              <w:spacing w:lineRule="auto"/>
            </w:pPr>
            <w:r>
              <w:rPr>
                <w:color w:val="24292f"/>
              </w:rPr>
              <w:t xml:space="preserve">  </w:t>
            </w:r>
            <w:r>
              <w:rPr>
                <w:color w:val="cf222e"/>
              </w:rPr>
              <w:t xml:space="preserve">return</w:t>
            </w:r>
            <w:r>
              <w:rPr>
                <w:color w:val="24292f"/>
              </w:rPr>
              <w:t xml:space="preserve"> message;</w:t>
            </w:r>
          </w:p>
          <w:p>
            <w:pPr>
              <w:spacing w:lineRule="auto"/>
            </w:pPr>
            <w:r>
              <w:rPr>
                <w:color w:val="24292f"/>
              </w:rPr>
              <w:t xml:space="preserve">}</w:t>
            </w:r>
          </w:p>
          <w:p>
            <w:pPr>
              <w:spacing w:lineRule="auto"/>
            </w:pPr>
            <w:r>
              <w:rPr>
                <w:color w:val="24292f"/>
              </w:rPr>
              <w:t xml:space="preserve"> </w:t>
            </w:r>
          </w:p>
          <w:p>
            <w:pPr>
              <w:spacing w:lineRule="auto"/>
            </w:pPr>
            <w:r>
              <w:rPr>
                <w:color w:val="8250df"/>
              </w:rPr>
              <w:t xml:space="preserve">greet</w:t>
            </w:r>
            <w:r>
              <w:rPr>
                <w:color w:val="24292f"/>
              </w:rPr>
              <w:t xml:space="preserve">(</w:t>
            </w:r>
            <w:r>
              <w:rPr>
                <w:color w:val="0a3069"/>
              </w:rPr>
              <w:t xml:space="preserve">'marktodocx'</w:t>
            </w:r>
            <w:r>
              <w:rPr>
                <w:color w:val="24292f"/>
              </w:rPr>
              <w:t xml:space="preserve">);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Python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106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0106"/>
      </w:tblGrid>
      <w:tr>
        <w:trPr/>
        <w:tc>
          <w:tcPr>
            <w:shd w:val="clear" w:fill="f0f0f0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lineRule="auto"/>
            </w:pPr>
            <w:r>
              <w:rPr>
                <w:color w:val="cf222e"/>
              </w:rPr>
              <w:t xml:space="preserve">def</w:t>
            </w:r>
            <w:r>
              <w:rPr>
                <w:color w:val="24292f"/>
              </w:rPr>
              <w:t xml:space="preserve"> </w:t>
            </w:r>
            <w:r>
              <w:rPr>
                <w:color w:val="8250df"/>
              </w:rPr>
              <w:t xml:space="preserve">fibonacci</w:t>
            </w:r>
            <w:r>
              <w:rPr>
                <w:color w:val="24292f"/>
              </w:rPr>
              <w:t xml:space="preserve">(</w:t>
            </w:r>
            <w:r>
              <w:rPr>
                <w:color w:val="953800"/>
              </w:rPr>
              <w:t xml:space="preserve">n: </w:t>
            </w:r>
            <w:r>
              <w:rPr>
                <w:color w:val="8250df"/>
              </w:rPr>
              <w:t xml:space="preserve">int</w:t>
            </w:r>
            <w:r>
              <w:rPr>
                <w:color w:val="24292f"/>
              </w:rPr>
              <w:t xml:space="preserve">) -&gt; </w:t>
            </w:r>
            <w:r>
              <w:rPr>
                <w:color w:val="8250df"/>
              </w:rPr>
              <w:t xml:space="preserve">list</w:t>
            </w:r>
            <w:r>
              <w:rPr>
                <w:color w:val="24292f"/>
              </w:rPr>
              <w:t xml:space="preserve">[</w:t>
            </w:r>
            <w:r>
              <w:rPr>
                <w:color w:val="8250df"/>
              </w:rPr>
              <w:t xml:space="preserve">int</w:t>
            </w:r>
            <w:r>
              <w:rPr>
                <w:color w:val="24292f"/>
              </w:rPr>
              <w:t xml:space="preserve">]:</w:t>
            </w:r>
          </w:p>
          <w:p>
            <w:pPr>
              <w:spacing w:lineRule="auto"/>
            </w:pPr>
            <w:r>
              <w:rPr>
                <w:color w:val="24292f"/>
              </w:rPr>
              <w:t xml:space="preserve">    </w:t>
            </w:r>
            <w:r>
              <w:rPr>
                <w:color w:val="0a3069"/>
              </w:rPr>
              <w:t xml:space="preserve">"""Generate Fibonacci sequence."""</w:t>
            </w:r>
          </w:p>
          <w:p>
            <w:pPr>
              <w:spacing w:lineRule="auto"/>
            </w:pPr>
            <w:r>
              <w:rPr>
                <w:color w:val="24292f"/>
              </w:rPr>
              <w:t xml:space="preserve">    seq = [</w:t>
            </w:r>
            <w:r>
              <w:rPr>
                <w:color w:val="0550ae"/>
              </w:rPr>
              <w:t xml:space="preserve">0</w:t>
            </w:r>
            <w:r>
              <w:rPr>
                <w:color w:val="24292f"/>
              </w:rPr>
              <w:t xml:space="preserve">, </w:t>
            </w:r>
            <w:r>
              <w:rPr>
                <w:color w:val="0550ae"/>
              </w:rPr>
              <w:t xml:space="preserve">1</w:t>
            </w:r>
            <w:r>
              <w:rPr>
                <w:color w:val="24292f"/>
              </w:rPr>
              <w:t xml:space="preserve">]</w:t>
            </w:r>
          </w:p>
          <w:p>
            <w:pPr>
              <w:spacing w:lineRule="auto"/>
            </w:pPr>
            <w:r>
              <w:rPr>
                <w:color w:val="24292f"/>
              </w:rPr>
              <w:t xml:space="preserve">    </w:t>
            </w:r>
            <w:r>
              <w:rPr>
                <w:color w:val="cf222e"/>
              </w:rPr>
              <w:t xml:space="preserve">for</w:t>
            </w:r>
            <w:r>
              <w:rPr>
                <w:color w:val="24292f"/>
              </w:rPr>
              <w:t xml:space="preserve"> i </w:t>
            </w:r>
            <w:r>
              <w:rPr>
                <w:color w:val="cf222e"/>
              </w:rPr>
              <w:t xml:space="preserve">in</w:t>
            </w:r>
            <w:r>
              <w:rPr>
                <w:color w:val="24292f"/>
              </w:rPr>
              <w:t xml:space="preserve"> </w:t>
            </w:r>
            <w:r>
              <w:rPr>
                <w:color w:val="8250df"/>
              </w:rPr>
              <w:t xml:space="preserve">range</w:t>
            </w:r>
            <w:r>
              <w:rPr>
                <w:color w:val="24292f"/>
              </w:rPr>
              <w:t xml:space="preserve">(</w:t>
            </w:r>
            <w:r>
              <w:rPr>
                <w:color w:val="0550ae"/>
              </w:rPr>
              <w:t xml:space="preserve">2</w:t>
            </w:r>
            <w:r>
              <w:rPr>
                <w:color w:val="24292f"/>
              </w:rPr>
              <w:t xml:space="preserve">, n):</w:t>
            </w:r>
          </w:p>
          <w:p>
            <w:pPr>
              <w:spacing w:lineRule="auto"/>
            </w:pPr>
            <w:r>
              <w:rPr>
                <w:color w:val="24292f"/>
              </w:rPr>
              <w:t xml:space="preserve">        seq.append(seq[i-</w:t>
            </w:r>
            <w:r>
              <w:rPr>
                <w:color w:val="0550ae"/>
              </w:rPr>
              <w:t xml:space="preserve">1</w:t>
            </w:r>
            <w:r>
              <w:rPr>
                <w:color w:val="24292f"/>
              </w:rPr>
              <w:t xml:space="preserve">] + seq[i-</w:t>
            </w:r>
            <w:r>
              <w:rPr>
                <w:color w:val="0550ae"/>
              </w:rPr>
              <w:t xml:space="preserve">2</w:t>
            </w:r>
            <w:r>
              <w:rPr>
                <w:color w:val="24292f"/>
              </w:rPr>
              <w:t xml:space="preserve">])</w:t>
            </w:r>
          </w:p>
          <w:p>
            <w:pPr>
              <w:spacing w:lineRule="auto"/>
            </w:pPr>
            <w:r>
              <w:rPr>
                <w:color w:val="24292f"/>
              </w:rPr>
              <w:t xml:space="preserve">    </w:t>
            </w:r>
            <w:r>
              <w:rPr>
                <w:color w:val="cf222e"/>
              </w:rPr>
              <w:t xml:space="preserve">return</w:t>
            </w:r>
            <w:r>
              <w:rPr>
                <w:color w:val="24292f"/>
              </w:rPr>
              <w:t xml:space="preserve"> seq[:n]</w:t>
            </w:r>
          </w:p>
          <w:p>
            <w:pPr>
              <w:spacing w:lineRule="auto"/>
            </w:pPr>
            <w:r>
              <w:rPr>
                <w:color w:val="24292f"/>
              </w:rPr>
              <w:t xml:space="preserve"> </w:t>
            </w:r>
          </w:p>
          <w:p>
            <w:pPr>
              <w:spacing w:lineRule="auto"/>
            </w:pPr>
            <w:r>
              <w:rPr>
                <w:color w:val="8250df"/>
              </w:rPr>
              <w:t xml:space="preserve">print</w:t>
            </w:r>
            <w:r>
              <w:rPr>
                <w:color w:val="24292f"/>
              </w:rPr>
              <w:t xml:space="preserve">(fibonacci(</w:t>
            </w:r>
            <w:r>
              <w:rPr>
                <w:color w:val="0550ae"/>
              </w:rPr>
              <w:t xml:space="preserve">10</w:t>
            </w:r>
            <w:r>
              <w:rPr>
                <w:color w:val="24292f"/>
              </w:rPr>
              <w:t xml:space="preserve">))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Plain Text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106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0106"/>
      </w:tblGrid>
      <w:tr>
        <w:trPr/>
        <w:tc>
          <w:tcPr>
            <w:shd w:val="clear" w:fill="f0f0f0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lineRule="auto"/>
            </w:pPr>
            <w:r>
              <w:rPr>
                <w:color w:val="24292f"/>
              </w:rPr>
              <w:t xml:space="preserve">This is a plain text block.</w:t>
            </w:r>
          </w:p>
          <w:p>
            <w:pPr>
              <w:spacing w:lineRule="auto"/>
            </w:pPr>
            <w:r>
              <w:rPr>
                <w:color w:val="24292f"/>
              </w:rPr>
              <w:t xml:space="preserve">No language badge should appear.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Tables</w:t>
      </w:r>
    </w:p>
    <w:p>
      <w:pPr>
        <w:pStyle w:val="Heading3"/>
        <w:spacing w:lineRule="auto"/>
      </w:pPr>
      <w:r>
        <w:rPr/>
        <w:t xml:space="preserve">Simple Table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095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68.6666666666665"/>
        <w:gridCol w:w="3368.6666666666665"/>
        <w:gridCol w:w="3368.6666666666665"/>
      </w:tblGrid>
      <w:tr>
        <w:trPr/>
        <w:tc>
          <w:tcPr>
            <w:shd w:val="clear" w:fill="595959"/>
            <w:tcW w:w="3360" w:type="dxa"/>
          </w:tcPr>
          <w:p>
            <w:pPr>
              <w:spacing w:lineRule="auto"/>
            </w:pPr>
            <w:r>
              <w:rPr>
                <w:color w:val="ffffff"/>
              </w:rPr>
              <w:t xml:space="preserve">Feature</w:t>
            </w:r>
          </w:p>
        </w:tc>
        <w:tc>
          <w:tcPr>
            <w:shd w:val="clear" w:fill="595959"/>
            <w:tcW w:w="3360" w:type="dxa"/>
          </w:tcPr>
          <w:p>
            <w:pPr>
              <w:spacing w:lineRule="auto"/>
            </w:pPr>
            <w:r>
              <w:rPr>
                <w:color w:val="ffffff"/>
              </w:rPr>
              <w:t xml:space="preserve">CLI</w:t>
            </w:r>
          </w:p>
        </w:tc>
        <w:tc>
          <w:tcPr>
            <w:shd w:val="clear" w:fill="595959"/>
            <w:tcW w:w="3360" w:type="dxa"/>
          </w:tcPr>
          <w:p>
            <w:pPr>
              <w:spacing w:lineRule="auto"/>
            </w:pPr>
            <w:r>
              <w:rPr>
                <w:color w:val="ffffff"/>
              </w:rPr>
              <w:t xml:space="preserve">Extension</w:t>
            </w:r>
          </w:p>
        </w:tc>
      </w:tr>
      <w:tblGrid>
        <w:gridCol w:w="3368.6666666666665"/>
        <w:gridCol w:w="3368.6666666666665"/>
        <w:gridCol w:w="3368.6666666666665"/>
      </w:tblGrid>
      <w:tr>
        <w:trPr/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Markdown parsing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markdown-it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markdown-it</w:t>
            </w:r>
          </w:p>
        </w:tc>
      </w:tr>
      <w:tr>
        <w:trPr/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Mermaid rendering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mmdc + Puppeteer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mermaid.render() + Canvas</w:t>
            </w:r>
          </w:p>
        </w:tc>
      </w:tr>
      <w:tr>
        <w:trPr/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DOCX generation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html-to-docx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html-to-docx (polyfilled)</w:t>
            </w:r>
          </w:p>
        </w:tc>
      </w:tr>
      <w:tr>
        <w:trPr/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Image support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fs.readFile</w:t>
            </w:r>
          </w:p>
        </w:tc>
        <w:tc>
          <w:tcPr>
            <w:tcW w:w="3360" w:type="dxa"/>
          </w:tcPr>
          <w:p>
            <w:pPr>
              <w:spacing w:lineRule="auto"/>
            </w:pPr>
            <w:r>
              <w:rPr/>
              <w:t xml:space="preserve">Directory picker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Table with Colspan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095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53"/>
        <w:gridCol w:w="5053"/>
      </w:tblGrid>
      <w:tr>
        <w:trPr/>
        <w:tc>
          <w:tcPr>
            <w:shd w:val="clear" w:fill="595959"/>
            <w:tcW w:w="5040" w:type="dxa"/>
          </w:tcPr>
          <w:p>
            <w:pPr>
              <w:spacing w:lineRule="auto"/>
            </w:pPr>
            <w:r>
              <w:rPr>
                <w:color w:val="ffffff"/>
              </w:rPr>
              <w:t xml:space="preserve">Category</w:t>
            </w:r>
          </w:p>
        </w:tc>
        <w:tc>
          <w:tcPr>
            <w:shd w:val="clear" w:fill="595959"/>
            <w:tcW w:w="5040" w:type="dxa"/>
          </w:tcPr>
          <w:p>
            <w:pPr>
              <w:spacing w:lineRule="auto"/>
            </w:pPr>
            <w:r>
              <w:rPr>
                <w:color w:val="ffffff"/>
              </w:rPr>
              <w:t xml:space="preserve">Details</w:t>
            </w:r>
          </w:p>
        </w:tc>
      </w:tr>
      <w:tblGrid>
        <w:gridCol w:w="5053"/>
        <w:gridCol w:w="5053"/>
      </w:tblGrid>
      <w:tr>
        <w:trPr/>
        <w:tc>
          <w:tcPr>
            <w:tcW w:w="5040" w:type="dxa"/>
          </w:tcPr>
          <w:p>
            <w:pPr>
              <w:spacing w:lineRule="auto"/>
            </w:pPr>
            <w:r>
              <w:rPr/>
              <w:t xml:space="preserve">Platform</w:t>
            </w:r>
          </w:p>
        </w:tc>
        <w:tc>
          <w:tcPr>
            <w:tcW w:w="5040" w:type="dxa"/>
          </w:tcPr>
          <w:p>
            <w:pPr>
              <w:spacing w:lineRule="auto"/>
            </w:pPr>
            <w:r>
              <w:rPr/>
              <w:t xml:space="preserve">Node.js 22+ (CLI), Chrome MV3 (Extension)</w:t>
            </w:r>
          </w:p>
        </w:tc>
      </w:tr>
      <w:tr>
        <w:trPr/>
        <w:tc>
          <w:tcPr>
            <w:tcW w:w="5040" w:type="dxa"/>
          </w:tcPr>
          <w:p>
            <w:pPr>
              <w:spacing w:lineRule="auto"/>
            </w:pPr>
            <w:r>
              <w:rPr/>
              <w:t xml:space="preserve">License</w:t>
            </w:r>
          </w:p>
        </w:tc>
        <w:tc>
          <w:tcPr>
            <w:tcW w:w="5040" w:type="dxa"/>
          </w:tcPr>
          <w:p>
            <w:pPr>
              <w:spacing w:lineRule="auto"/>
            </w:pPr>
            <w:r>
              <w:rPr/>
              <w:t xml:space="preserve">MIT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Local Image</w:t>
      </w:r>
    </w:p>
    <w:p>
      <w:pPr>
        <w:spacing w:lineRule="auto"/>
      </w:pPr>
      <w:r>
        <w:rPr/>
        <w:drawing>
          <wp:inline distB="0" distL="0" distR="0" distT="0">
            <wp:extent cx="9525" cy="9525"/>
            <wp:effectExtent b="0" l="0" r="0" t="0"/>
            <wp:docPr id="1" name="image-IfCQJ_tahQGVA8cuFajpk.png"/>
            <a:graphic>
              <a:graphicData uri="http://schemas.openxmlformats.org/drawingml/2006/picture">
                <pic:pic>
                  <pic:nvPicPr>
                    <pic:cNvPr id="1" name="image-IfCQJ_tahQGVA8cuFajpk.png" descr="Test image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r>
        <w:rPr/>
        <w:t xml:space="preserve">Mermaid Diagrams</w:t>
      </w:r>
    </w:p>
    <w:p>
      <w:pPr>
        <w:pStyle w:val="Heading3"/>
        <w:spacing w:lineRule="auto"/>
      </w:pPr>
      <w:r>
        <w:rPr/>
        <w:t xml:space="preserve">Flowchart</w:t>
      </w:r>
    </w:p>
    <w:p>
      <w:pPr>
        <w:spacing w:lineRule="auto"/>
      </w:pPr>
      <w:r>
        <w:rPr/>
        <w:drawing>
          <wp:inline distB="0" distL="0" distR="0" distT="0">
            <wp:extent cx="2333625" cy="4733925"/>
            <wp:effectExtent b="0" l="0" r="0" t="0"/>
            <wp:docPr id="3" name="image-dd44pyMe2yOUPGwlm5Zqn.png"/>
            <a:graphic>
              <a:graphicData uri="http://schemas.openxmlformats.org/drawingml/2006/picture">
                <pic:pic>
                  <pic:nvPicPr>
                    <pic:cNvPr id="3" name="image-dd44pyMe2yOUPGwlm5Zqn.png" descr="Mermaid diagram 1"/>
                    <pic:cNvPicPr/>
                  </pic:nvPicPr>
                  <pic:blipFill>
                    <a:blip r:embed="rId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4733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Sequence Diagram</w:t>
      </w:r>
    </w:p>
    <w:p>
      <w:pPr>
        <w:spacing w:lineRule="auto"/>
      </w:pPr>
      <w:r>
        <w:rPr/>
        <w:drawing>
          <wp:inline distB="0" distL="0" distR="0" distT="0">
            <wp:extent cx="6410325" cy="5876925"/>
            <wp:effectExtent b="0" l="0" r="0" t="0"/>
            <wp:docPr id="5" name="image-9dHGy-EqP2CyXCrDJg38P.png"/>
            <a:graphic>
              <a:graphicData uri="http://schemas.openxmlformats.org/drawingml/2006/picture">
                <pic:pic>
                  <pic:nvPicPr>
                    <pic:cNvPr id="5" name="image-9dHGy-EqP2CyXCrDJg38P.png" descr="Mermaid diagram 2"/>
                    <pic:cNvPicPr/>
                  </pic:nvPicPr>
                  <pic:blipFill>
                    <a:blip r:embed="rId1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5876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r>
        <w:rPr/>
        <w:t xml:space="preserve">Edge Cases</w:t>
      </w:r>
    </w:p>
    <w:p>
      <w:pPr>
        <w:pStyle w:val="Heading3"/>
        <w:spacing w:lineRule="auto"/>
      </w:pPr>
      <w:r>
        <w:rPr/>
        <w:t xml:space="preserve">Empty Code Block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106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0106"/>
      </w:tblGrid>
      <w:tr>
        <w:trPr/>
        <w:tc>
          <w:tcPr>
            <w:shd w:val="clear" w:fill="f0f0f0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lineRule="auto"/>
            </w:pPr>
            <w:r>
              <w:rPr>
                <w:color w:val="24292f"/>
              </w:rPr>
              <w:t xml:space="preserve"> 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Single-Line Code Block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106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0106"/>
      </w:tblGrid>
      <w:tr>
        <w:trPr/>
        <w:tc>
          <w:tcPr>
            <w:shd w:val="clear" w:fill="f0f0f0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</w:tcPr>
          <w:p>
            <w:pPr>
              <w:spacing w:lineRule="auto"/>
            </w:pPr>
            <w:r>
              <w:rPr>
                <w:color w:val="8250df"/>
              </w:rPr>
              <w:t xml:space="preserve">echo</w:t>
            </w:r>
            <w:r>
              <w:rPr>
                <w:color w:val="24292f"/>
              </w:rPr>
              <w:t xml:space="preserve"> </w:t>
            </w:r>
            <w:r>
              <w:rPr>
                <w:color w:val="0a3069"/>
              </w:rPr>
              <w:t xml:space="preserve">"hello"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Table in Blockquote Context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106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0106"/>
      </w:tblGrid>
      <w:tr>
        <w:trPr/>
        <w:tc>
          <w:tcPr>
            <w:shd w:val="clear" w:fill="efefef"/>
            <w:vAlign w:val="top"/>
            <w:tcBorders>
              <w:top w:val="single" w:sz="none" w:space="0" w:color="000000"/>
              <w:left w:val="single" w:sz="24" w:space="0" w:color="000000"/>
              <w:bottom w:val="single" w:sz="none" w:space="0" w:color="000000"/>
              <w:right w:val="single" w:sz="none" w:space="0" w:color="000000"/>
            </w:tcBorders>
          </w:tcPr>
          <w:p>
            <w:pPr>
              <w:spacing w:lineRule="auto"/>
            </w:pPr>
            <w:r>
              <w:rPr>
                <w:color w:val="334155"/>
              </w:rPr>
              <w:t xml:space="preserve">Note: The extension requires a directory picker for local images.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Special Characters</w:t>
      </w:r>
    </w:p>
    <w:p>
      <w:pPr>
        <w:spacing w:lineRule="auto"/>
      </w:pPr>
      <w:r>
        <w:rPr/>
        <w:t xml:space="preserve">Angle brackets: </w:t>
      </w:r>
      <w:r>
        <w:rPr>
          <w:i/>
          <w:color w:val="24292f"/>
          <w:shd w:val="clear" w:fill="efefef"/>
        </w:rPr>
        <w:t xml:space="preserve">&lt;div&gt;</w:t>
      </w:r>
      <w:r>
        <w:rPr/>
        <w:t xml:space="preserve"> and </w:t>
      </w:r>
      <w:r>
        <w:rPr>
          <w:i/>
          <w:color w:val="24292f"/>
          <w:shd w:val="clear" w:fill="efefef"/>
        </w:rPr>
        <w:t xml:space="preserve">&lt;/div&gt;</w:t>
      </w:r>
    </w:p>
    <w:p>
      <w:pPr>
        <w:spacing w:lineRule="auto"/>
      </w:pPr>
      <w:r>
        <w:rPr/>
        <w:t xml:space="preserve">Ampersand: </w:t>
      </w:r>
      <w:r>
        <w:rPr>
          <w:i/>
          <w:color w:val="24292f"/>
          <w:shd w:val="clear" w:fill="efefef"/>
        </w:rPr>
        <w:t xml:space="preserve">R&amp;D</w:t>
      </w:r>
    </w:p>
    <w:p>
      <w:pPr>
        <w:spacing w:lineRule="auto"/>
      </w:pPr>
      <w:r>
        <w:rPr/>
        <w:t xml:space="preserve">Quotes: "double" and 'single'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https://example.com" TargetMode="External"/>
  <Relationship Id="rId7" Type="http://schemas.openxmlformats.org/officeDocument/2006/relationships/image" Target="media/image-IfCQJ_tahQGVA8cuFajpk.png" TargetMode="Internal"/>
  <Relationship Id="rId8" Type="http://schemas.openxmlformats.org/officeDocument/2006/relationships/image" Target="media/image-0IZL9angZJKY4qgDCQzRM.png" TargetMode="Internal"/>
  <Relationship Id="rId9" Type="http://schemas.openxmlformats.org/officeDocument/2006/relationships/image" Target="media/image-dd44pyMe2yOUPGwlm5Zqn.png" TargetMode="Internal"/>
  <Relationship Id="rId10" Type="http://schemas.openxmlformats.org/officeDocument/2006/relationships/image" Target="media/image-iqI-KgLE01aJL0nDd-Z6N.png" TargetMode="Internal"/>
  <Relationship Id="rId11" Type="http://schemas.openxmlformats.org/officeDocument/2006/relationships/image" Target="media/image-9dHGy-EqP2CyXCrDJg38P.png" TargetMode="Internal"/>
  <Relationship Id="rId12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2026-06-04T15:54:39.047Z</dcterms:created>
  <dcterms:modified xsi:type="dcterms:W3CDTF">2026-06-04T15:54:39.047Z</dcterms:modified>
</cp:coreProperties>
</file>