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Blockquote Regression Fixture</w:t>
      </w:r>
    </w:p>
    <w:p>
      <w:pPr>
        <w:spacing w:lineRule="auto"/>
      </w:pPr>
      <w:r>
        <w:rPr/>
        <w:t xml:space="preserve">This fixture isolates the recent blockquote regressions so the golden corpus can catch them directly.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blockquote should keep its background styling.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also includes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,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, and </w:t>
            </w:r>
            <w:r>
              <w:rPr>
                <w:color w:val="24292f"/>
                <w:i/>
                <w:shd w:val="clear" w:fill="efefef"/>
              </w:rPr>
              <w:t xml:space="preserve">inline code</w:t>
            </w:r>
            <w:r>
              <w:rPr>
                <w:color w:val="334155"/>
              </w:rPr>
              <w:t xml:space="preserve">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Second paragraph in the same quote.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Normal paragraph after the quote.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Nested list coverage:</w:t>
            </w:r>
          </w:p>
          <w:p>
            <w:pPr>
              <w:spacing w:lineRule="auto"/>
            </w:pPr>
            <w:r>
              <w:rPr>
                <w:color w:val="334155"/>
              </w:rPr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Case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Expected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Quote background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Inline formatting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Following paragraph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Not absorbed into quote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2026-04-17T12:40:30.624Z</dcterms:created>
  <dcterms:modified xsi:type="dcterms:W3CDTF">2026-04-17T12:40:30.624Z</dcterms:modified>
</cp:coreProperties>
</file>