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2C3E50"/>
          <w:sz w:val="44"/>
        </w:rPr>
        <w:t>环旭电子（601231.SH）投资分析报告</w:t>
      </w:r>
    </w:p>
    <w:p>
      <w:r>
        <w:rPr>
          <w:color w:val="2C3E50"/>
          <w:sz w:val="22"/>
        </w:rPr>
        <w:t>报告日期：2026年3月13日</w:t>
      </w:r>
    </w:p>
    <w:p>
      <w:r>
        <w:rPr>
          <w:color w:val="2C3E50"/>
          <w:sz w:val="22"/>
        </w:rPr>
        <w:t>分析师：AI投资助手</w:t>
      </w:r>
    </w:p>
    <w:p/>
    <w:p>
      <w:pPr>
        <w:pStyle w:val="Heading1"/>
      </w:pPr>
      <w:r>
        <w:rPr>
          <w:b/>
          <w:sz w:val="32"/>
        </w:rPr>
        <w:t>一、公司概况</w:t>
      </w:r>
    </w:p>
    <w:p>
      <w:r>
        <w:rPr>
          <w:color w:val="2C3E50"/>
          <w:sz w:val="22"/>
        </w:rPr>
        <w:t>环旭电子股份有限公司（Universal Scientific Industrial）成立于2003年，2012年在上交所主板上市，是全球领先的电子设计制造服务（EMS）厂商。</w:t>
      </w:r>
    </w:p>
    <w:p/>
    <w:p>
      <w:r>
        <w:rPr>
          <w:color w:val="2C3E50"/>
          <w:sz w:val="22"/>
        </w:rPr>
        <w:t>基本信息：</w:t>
      </w:r>
    </w:p>
    <w:p>
      <w:r>
        <w:rPr>
          <w:color w:val="2C3E50"/>
          <w:sz w:val="22"/>
        </w:rPr>
        <w:t>- 股票代码：601231.SH（上交所）</w:t>
      </w:r>
    </w:p>
    <w:p>
      <w:r>
        <w:rPr>
          <w:color w:val="2C3E50"/>
          <w:sz w:val="22"/>
        </w:rPr>
        <w:t>- 所属行业：电子元器件（EMS电子制造服务）</w:t>
      </w:r>
    </w:p>
    <w:p>
      <w:r>
        <w:rPr>
          <w:color w:val="2C3E50"/>
          <w:sz w:val="22"/>
        </w:rPr>
        <w:t>- 上市日期：2012年2月20日</w:t>
      </w:r>
    </w:p>
    <w:p>
      <w:r>
        <w:rPr>
          <w:color w:val="2C3E50"/>
          <w:sz w:val="22"/>
        </w:rPr>
        <w:t>- 公司性质：台资背景（日月光控股）</w:t>
      </w:r>
    </w:p>
    <w:p/>
    <w:p>
      <w:r>
        <w:rPr>
          <w:color w:val="2C3E50"/>
          <w:sz w:val="22"/>
        </w:rPr>
        <w:t>主营业务：</w:t>
      </w:r>
    </w:p>
    <w:p>
      <w:r>
        <w:rPr>
          <w:color w:val="2C3E50"/>
          <w:sz w:val="22"/>
        </w:rPr>
        <w:t>- 通讯类产品（iPhone、Apple Watch等）</w:t>
      </w:r>
    </w:p>
    <w:p>
      <w:r>
        <w:rPr>
          <w:color w:val="2C3E50"/>
          <w:sz w:val="22"/>
        </w:rPr>
        <w:t>- 消费电子类（可穿戴设备、智能家居）</w:t>
      </w:r>
    </w:p>
    <w:p>
      <w:r>
        <w:rPr>
          <w:color w:val="2C3E50"/>
          <w:sz w:val="22"/>
        </w:rPr>
        <w:t>- 工业电子类（汽车电子、医疗设备）</w:t>
      </w:r>
    </w:p>
    <w:p>
      <w:r>
        <w:rPr>
          <w:color w:val="2C3E50"/>
          <w:sz w:val="22"/>
        </w:rPr>
        <w:t>- 云端及存储类（服务器、数据中心）</w:t>
      </w:r>
    </w:p>
    <w:p/>
    <w:p>
      <w:pPr>
        <w:pStyle w:val="Heading1"/>
      </w:pPr>
      <w:r>
        <w:rPr>
          <w:b/>
          <w:sz w:val="32"/>
        </w:rPr>
        <w:t>二、行业分析 - EMS电子制造服务</w:t>
      </w:r>
    </w:p>
    <w:p/>
    <w:p>
      <w:r>
        <w:rPr>
          <w:color w:val="2C3E50"/>
          <w:sz w:val="22"/>
        </w:rPr>
        <w:t>2.1 行业地位</w:t>
      </w:r>
    </w:p>
    <w:p>
      <w:r>
        <w:rPr>
          <w:color w:val="2C3E50"/>
          <w:sz w:val="22"/>
        </w:rPr>
        <w:t>环旭电子是全球前十大EMS厂商，在SiP（系统级封装）领域处于全球领先地位。</w:t>
      </w:r>
    </w:p>
    <w:p/>
    <w:p>
      <w:r>
        <w:rPr>
          <w:color w:val="2C3E50"/>
          <w:sz w:val="22"/>
        </w:rPr>
        <w:t>行业特点：</w:t>
      </w:r>
    </w:p>
    <w:p>
      <w:r>
        <w:rPr>
          <w:color w:val="2C3E50"/>
          <w:sz w:val="22"/>
        </w:rPr>
        <w:t>- 客户集中度高：前五大客户占比超过70%（主要是苹果）</w:t>
      </w:r>
    </w:p>
    <w:p>
      <w:r>
        <w:rPr>
          <w:color w:val="2C3E50"/>
          <w:sz w:val="22"/>
        </w:rPr>
        <w:t>- 技术壁垒：SiP封装技术门槛高</w:t>
      </w:r>
    </w:p>
    <w:p>
      <w:r>
        <w:rPr>
          <w:color w:val="2C3E50"/>
          <w:sz w:val="22"/>
        </w:rPr>
        <w:t>- 周期性：消费电子旺季集中在下半年</w:t>
      </w:r>
    </w:p>
    <w:p>
      <w:r>
        <w:rPr>
          <w:color w:val="2C3E50"/>
          <w:sz w:val="22"/>
        </w:rPr>
        <w:t>- 全球化布局：在 Taiwan、China、Mexico、Poland 设有工厂</w:t>
      </w:r>
    </w:p>
    <w:p/>
    <w:p>
      <w:r>
        <w:rPr>
          <w:color w:val="2C3E50"/>
          <w:sz w:val="22"/>
        </w:rPr>
        <w:t>2.2 竞争格局</w:t>
      </w:r>
    </w:p>
    <w:p>
      <w:r>
        <w:rPr>
          <w:color w:val="2C3E50"/>
          <w:sz w:val="22"/>
        </w:rPr>
        <w:t>全球EMS前五大：富士康、和硕、纬创、捷普、环旭电子</w:t>
      </w:r>
    </w:p>
    <w:p>
      <w:r>
        <w:rPr>
          <w:color w:val="2C3E50"/>
          <w:sz w:val="22"/>
        </w:rPr>
        <w:t>环旭电子优势：SiP模组封装技术领先</w:t>
      </w:r>
    </w:p>
    <w:p/>
    <w:p>
      <w:r>
        <w:rPr>
          <w:color w:val="2C3E50"/>
          <w:sz w:val="22"/>
        </w:rPr>
        <w:t>2.3 行业趋势</w:t>
      </w:r>
    </w:p>
    <w:p>
      <w:r>
        <w:rPr>
          <w:color w:val="2C3E50"/>
          <w:sz w:val="22"/>
        </w:rPr>
        <w:t>- 5G换机潮带动通讯模组需求</w:t>
      </w:r>
    </w:p>
    <w:p>
      <w:r>
        <w:rPr>
          <w:color w:val="2C3E50"/>
          <w:sz w:val="22"/>
        </w:rPr>
        <w:t>- 可穿戴设备市场增长（Apple Watch、AirPods）</w:t>
      </w:r>
    </w:p>
    <w:p>
      <w:r>
        <w:rPr>
          <w:color w:val="2C3E50"/>
          <w:sz w:val="22"/>
        </w:rPr>
        <w:t>- 汽车电子化率提升</w:t>
      </w:r>
    </w:p>
    <w:p>
      <w:r>
        <w:rPr>
          <w:color w:val="2C3E50"/>
          <w:sz w:val="22"/>
        </w:rPr>
        <w:t>- 地缘政治风险：中美科技竞争</w:t>
      </w:r>
    </w:p>
    <w:p/>
    <w:p>
      <w:pPr>
        <w:pStyle w:val="Heading1"/>
      </w:pPr>
      <w:r>
        <w:rPr>
          <w:b/>
          <w:sz w:val="32"/>
        </w:rPr>
        <w:t>三、财务分析</w:t>
      </w:r>
    </w:p>
    <w:p/>
    <w:p>
      <w:r>
        <w:rPr>
          <w:color w:val="2C3E50"/>
          <w:sz w:val="22"/>
        </w:rPr>
        <w:t>3.1 盈利能力（最近4个季度）</w:t>
      </w:r>
    </w:p>
    <w:p>
      <w:r>
        <w:rPr>
          <w:color w:val="2C3E50"/>
          <w:sz w:val="22"/>
        </w:rPr>
        <w:t>- Q1：ROE 6.85%，营收同比-0.83%，净利润同比-2.60%</w:t>
      </w:r>
    </w:p>
    <w:p>
      <w:r>
        <w:rPr>
          <w:color w:val="2C3E50"/>
          <w:sz w:val="22"/>
        </w:rPr>
        <w:t>- Q2：ROE 3.50%，营收同比-0.63%，净利润同比-18.66%</w:t>
      </w:r>
    </w:p>
    <w:p>
      <w:r>
        <w:rPr>
          <w:color w:val="2C3E50"/>
          <w:sz w:val="22"/>
        </w:rPr>
        <w:t>- Q3：ROE 1.85%，营收同比+1.16%，净利润同比+0.08%</w:t>
      </w:r>
    </w:p>
    <w:p>
      <w:r>
        <w:rPr>
          <w:color w:val="2C3E50"/>
          <w:sz w:val="22"/>
        </w:rPr>
        <w:t>- Q4：ROE 9.46%，营收同比-0.17%，净利润同比-15.16%</w:t>
      </w:r>
    </w:p>
    <w:p/>
    <w:p>
      <w:r>
        <w:rPr>
          <w:color w:val="2C3E50"/>
          <w:sz w:val="22"/>
        </w:rPr>
        <w:t>分析：</w:t>
      </w:r>
    </w:p>
    <w:p>
      <w:r>
        <w:rPr>
          <w:color w:val="2C3E50"/>
          <w:sz w:val="22"/>
        </w:rPr>
        <w:t>- ROE全年约9.46%，处于中等水平</w:t>
      </w:r>
    </w:p>
    <w:p>
      <w:r>
        <w:rPr>
          <w:color w:val="2C3E50"/>
          <w:sz w:val="22"/>
        </w:rPr>
        <w:t>- 营收基本持平，微幅下滑</w:t>
      </w:r>
    </w:p>
    <w:p>
      <w:r>
        <w:rPr>
          <w:color w:val="2C3E50"/>
          <w:sz w:val="22"/>
        </w:rPr>
        <w:t>- 净利润同比下滑，盈利能力承压</w:t>
      </w:r>
    </w:p>
    <w:p>
      <w:r>
        <w:rPr>
          <w:color w:val="2C3E50"/>
          <w:sz w:val="22"/>
        </w:rPr>
        <w:t>- Q4季节性回升，但同比仍下滑</w:t>
      </w:r>
    </w:p>
    <w:p/>
    <w:p>
      <w:r>
        <w:rPr>
          <w:color w:val="2C3E50"/>
          <w:sz w:val="22"/>
        </w:rPr>
        <w:t>3.2 资产负债状况</w:t>
      </w:r>
    </w:p>
    <w:p>
      <w:r>
        <w:rPr>
          <w:color w:val="2C3E50"/>
          <w:sz w:val="22"/>
        </w:rPr>
        <w:t>- 总资产：421.43亿元</w:t>
      </w:r>
    </w:p>
    <w:p>
      <w:r>
        <w:rPr>
          <w:color w:val="2C3E50"/>
          <w:sz w:val="22"/>
        </w:rPr>
        <w:t>- 总负债：232.16亿元</w:t>
      </w:r>
    </w:p>
    <w:p>
      <w:r>
        <w:rPr>
          <w:color w:val="2C3E50"/>
          <w:sz w:val="22"/>
        </w:rPr>
        <w:t>- 资产负债率：55.09%（适中）</w:t>
      </w:r>
    </w:p>
    <w:p>
      <w:r>
        <w:rPr>
          <w:color w:val="2C3E50"/>
          <w:sz w:val="22"/>
        </w:rPr>
        <w:t>- 股东权益：189.26亿元</w:t>
      </w:r>
    </w:p>
    <w:p/>
    <w:p>
      <w:r>
        <w:rPr>
          <w:color w:val="2C3E50"/>
          <w:sz w:val="22"/>
        </w:rPr>
        <w:t>分析：资产负债率适中，财务结构稳健。</w:t>
      </w:r>
    </w:p>
    <w:p/>
    <w:p>
      <w:r>
        <w:rPr>
          <w:color w:val="2C3E50"/>
          <w:sz w:val="22"/>
        </w:rPr>
        <w:t>3.3 现金流与偿债能力</w:t>
      </w:r>
    </w:p>
    <w:p>
      <w:r>
        <w:rPr>
          <w:color w:val="2C3E50"/>
          <w:sz w:val="22"/>
        </w:rPr>
        <w:t>- 需要关注应收账款（苹果等大客户账期较长）</w:t>
      </w:r>
    </w:p>
    <w:p>
      <w:r>
        <w:rPr>
          <w:color w:val="2C3E50"/>
          <w:sz w:val="22"/>
        </w:rPr>
        <w:t>- 存货管理（消费电子季节性）</w:t>
      </w:r>
    </w:p>
    <w:p>
      <w:r>
        <w:rPr>
          <w:color w:val="2C3E50"/>
          <w:sz w:val="22"/>
        </w:rPr>
        <w:t>- 资本开支（扩产投资）</w:t>
      </w:r>
    </w:p>
    <w:p/>
    <w:p>
      <w:pPr>
        <w:pStyle w:val="Heading1"/>
      </w:pPr>
      <w:r>
        <w:rPr>
          <w:b/>
          <w:sz w:val="32"/>
        </w:rPr>
        <w:t>四、技术分析</w:t>
      </w:r>
    </w:p>
    <w:p/>
    <w:p>
      <w:r>
        <w:rPr>
          <w:color w:val="2C3E50"/>
          <w:sz w:val="22"/>
        </w:rPr>
        <w:t>4.1 价格走势（最近30天）</w:t>
      </w:r>
    </w:p>
    <w:p>
      <w:r>
        <w:rPr>
          <w:color w:val="2C3E50"/>
          <w:sz w:val="22"/>
        </w:rPr>
        <w:t>- 最新收盘价：39.10元</w:t>
      </w:r>
    </w:p>
    <w:p>
      <w:r>
        <w:rPr>
          <w:color w:val="2C3E50"/>
          <w:sz w:val="22"/>
        </w:rPr>
        <w:t>- 30日最高价：49.38元（涨幅26%）</w:t>
      </w:r>
    </w:p>
    <w:p>
      <w:r>
        <w:rPr>
          <w:color w:val="2C3E50"/>
          <w:sz w:val="22"/>
        </w:rPr>
        <w:t>- 30日最低价：35.88元</w:t>
      </w:r>
    </w:p>
    <w:p>
      <w:r>
        <w:rPr>
          <w:color w:val="2C3E50"/>
          <w:sz w:val="22"/>
        </w:rPr>
        <w:t>- 当前涨跌幅：-2.71%</w:t>
      </w:r>
    </w:p>
    <w:p>
      <w:r>
        <w:rPr>
          <w:color w:val="2C3E50"/>
          <w:sz w:val="22"/>
        </w:rPr>
        <w:t>- 30日均量：58.48万手</w:t>
      </w:r>
    </w:p>
    <w:p/>
    <w:p>
      <w:r>
        <w:rPr>
          <w:color w:val="2C3E50"/>
          <w:sz w:val="22"/>
        </w:rPr>
        <w:t>4.2 技术形态分析</w:t>
      </w:r>
    </w:p>
    <w:p>
      <w:r>
        <w:rPr>
          <w:color w:val="2C3E50"/>
          <w:sz w:val="22"/>
        </w:rPr>
        <w:t>- 当前从49.38高点回落，跌幅约20%</w:t>
      </w:r>
    </w:p>
    <w:p>
      <w:r>
        <w:rPr>
          <w:color w:val="2C3E50"/>
          <w:sz w:val="22"/>
        </w:rPr>
        <w:t>- 支撑位：35-36元区间（前期低点）</w:t>
      </w:r>
    </w:p>
    <w:p>
      <w:r>
        <w:rPr>
          <w:color w:val="2C3E50"/>
          <w:sz w:val="22"/>
        </w:rPr>
        <w:t>- 阻力位：45-50元区间（前期高点）</w:t>
      </w:r>
    </w:p>
    <w:p>
      <w:r>
        <w:rPr>
          <w:color w:val="2C3E50"/>
          <w:sz w:val="22"/>
        </w:rPr>
        <w:t>- 短期趋势：调整中，关注35元支撑</w:t>
      </w:r>
    </w:p>
    <w:p/>
    <w:p>
      <w:pPr>
        <w:pStyle w:val="Heading1"/>
      </w:pPr>
      <w:r>
        <w:rPr>
          <w:b/>
          <w:sz w:val="32"/>
        </w:rPr>
        <w:t>五、客户与业务风险分析</w:t>
      </w:r>
    </w:p>
    <w:p/>
    <w:p>
      <w:r>
        <w:rPr>
          <w:color w:val="2C3E50"/>
          <w:sz w:val="22"/>
        </w:rPr>
        <w:t>5.1 客户集中度风险（🔴 高风险）</w:t>
      </w:r>
    </w:p>
    <w:p>
      <w:r>
        <w:rPr>
          <w:color w:val="2C3E50"/>
          <w:sz w:val="22"/>
        </w:rPr>
        <w:t>- 苹果收入占比超过50%</w:t>
      </w:r>
    </w:p>
    <w:p>
      <w:r>
        <w:rPr>
          <w:color w:val="2C3E50"/>
          <w:sz w:val="22"/>
        </w:rPr>
        <w:t>- 单一客户依赖度过高</w:t>
      </w:r>
    </w:p>
    <w:p>
      <w:r>
        <w:rPr>
          <w:color w:val="2C3E50"/>
          <w:sz w:val="22"/>
        </w:rPr>
        <w:t>- 苹果订单波动直接影响业绩</w:t>
      </w:r>
    </w:p>
    <w:p/>
    <w:p>
      <w:r>
        <w:rPr>
          <w:color w:val="2C3E50"/>
          <w:sz w:val="22"/>
        </w:rPr>
        <w:t>5.2 地缘政治风险（🔴 高风险）</w:t>
      </w:r>
    </w:p>
    <w:p>
      <w:r>
        <w:rPr>
          <w:color w:val="2C3E50"/>
          <w:sz w:val="22"/>
        </w:rPr>
        <w:t>- 中美科技竞争加剧</w:t>
      </w:r>
    </w:p>
    <w:p>
      <w:r>
        <w:rPr>
          <w:color w:val="2C3E50"/>
          <w:sz w:val="22"/>
        </w:rPr>
        <w:t>- 台海局势不确定性</w:t>
      </w:r>
    </w:p>
    <w:p>
      <w:r>
        <w:rPr>
          <w:color w:val="2C3E50"/>
          <w:sz w:val="22"/>
        </w:rPr>
        <w:t>- 供应链转移风险</w:t>
      </w:r>
    </w:p>
    <w:p/>
    <w:p>
      <w:r>
        <w:rPr>
          <w:color w:val="2C3E50"/>
          <w:sz w:val="22"/>
        </w:rPr>
        <w:t>5.3 行业竞争风险（🟡 中等风险）</w:t>
      </w:r>
    </w:p>
    <w:p>
      <w:r>
        <w:rPr>
          <w:color w:val="2C3E50"/>
          <w:sz w:val="22"/>
        </w:rPr>
        <w:t>- EMS行业竞争激烈，价格战</w:t>
      </w:r>
    </w:p>
    <w:p>
      <w:r>
        <w:rPr>
          <w:color w:val="2C3E50"/>
          <w:sz w:val="22"/>
        </w:rPr>
        <w:t>- 毛利率持续承压</w:t>
      </w:r>
    </w:p>
    <w:p>
      <w:r>
        <w:rPr>
          <w:color w:val="2C3E50"/>
          <w:sz w:val="22"/>
        </w:rPr>
        <w:t>- 技术迭代风险</w:t>
      </w:r>
    </w:p>
    <w:p/>
    <w:p>
      <w:pPr>
        <w:pStyle w:val="Heading1"/>
      </w:pPr>
      <w:r>
        <w:rPr>
          <w:b/>
          <w:sz w:val="32"/>
        </w:rPr>
        <w:t>六、投资逻辑与策略</w:t>
      </w:r>
    </w:p>
    <w:p/>
    <w:p>
      <w:r>
        <w:rPr>
          <w:color w:val="2C3E50"/>
          <w:sz w:val="22"/>
        </w:rPr>
        <w:t>6.1 看多逻辑</w:t>
      </w:r>
    </w:p>
    <w:p>
      <w:r>
        <w:rPr>
          <w:color w:val="2C3E50"/>
          <w:sz w:val="22"/>
        </w:rPr>
        <w:t>1. SiP技术领先，受益于可穿戴设备增长</w:t>
      </w:r>
    </w:p>
    <w:p>
      <w:r>
        <w:rPr>
          <w:color w:val="2C3E50"/>
          <w:sz w:val="22"/>
        </w:rPr>
        <w:t>2. 苹果生态深度绑定，订单稳定</w:t>
      </w:r>
    </w:p>
    <w:p>
      <w:r>
        <w:rPr>
          <w:color w:val="2C3E50"/>
          <w:sz w:val="22"/>
        </w:rPr>
        <w:t>3. 汽车电子业务拓展新增长点</w:t>
      </w:r>
    </w:p>
    <w:p>
      <w:r>
        <w:rPr>
          <w:color w:val="2C3E50"/>
          <w:sz w:val="22"/>
        </w:rPr>
        <w:t>4. 估值处于历史低位（PE约15倍）</w:t>
      </w:r>
    </w:p>
    <w:p>
      <w:r>
        <w:rPr>
          <w:color w:val="2C3E50"/>
          <w:sz w:val="22"/>
        </w:rPr>
        <w:t>5. 全球EMS龙头地位稳固</w:t>
      </w:r>
    </w:p>
    <w:p/>
    <w:p>
      <w:r>
        <w:rPr>
          <w:color w:val="2C3E50"/>
          <w:sz w:val="22"/>
        </w:rPr>
        <w:t>6.2 看空逻辑</w:t>
      </w:r>
    </w:p>
    <w:p>
      <w:r>
        <w:rPr>
          <w:color w:val="2C3E50"/>
          <w:sz w:val="22"/>
        </w:rPr>
        <w:t>1. 客户集中度过高，苹果依赖风险</w:t>
      </w:r>
    </w:p>
    <w:p>
      <w:r>
        <w:rPr>
          <w:color w:val="2C3E50"/>
          <w:sz w:val="22"/>
        </w:rPr>
        <w:t>2. 地缘政治不确定性</w:t>
      </w:r>
    </w:p>
    <w:p>
      <w:r>
        <w:rPr>
          <w:color w:val="2C3E50"/>
          <w:sz w:val="22"/>
        </w:rPr>
        <w:t>3. 消费电子周期下行</w:t>
      </w:r>
    </w:p>
    <w:p>
      <w:r>
        <w:rPr>
          <w:color w:val="2C3E50"/>
          <w:sz w:val="22"/>
        </w:rPr>
        <w:t>4. 毛利率持续承压</w:t>
      </w:r>
    </w:p>
    <w:p>
      <w:r>
        <w:rPr>
          <w:color w:val="2C3E50"/>
          <w:sz w:val="22"/>
        </w:rPr>
        <w:t>5. 台海局势风险</w:t>
      </w:r>
    </w:p>
    <w:p/>
    <w:p>
      <w:pPr>
        <w:pStyle w:val="Heading1"/>
      </w:pPr>
      <w:r>
        <w:rPr>
          <w:b/>
          <w:sz w:val="32"/>
        </w:rPr>
        <w:t>七、投资建议与风险提示</w:t>
      </w:r>
    </w:p>
    <w:p/>
    <w:p>
      <w:r>
        <w:rPr>
          <w:color w:val="2C3E50"/>
          <w:sz w:val="22"/>
        </w:rPr>
        <w:t>7.1 投资建议：谨慎观望 / 逢低关注</w:t>
      </w:r>
    </w:p>
    <w:p/>
    <w:p>
      <w:r>
        <w:rPr>
          <w:color w:val="2C3E50"/>
          <w:sz w:val="22"/>
        </w:rPr>
        <w:t>理由：</w:t>
      </w:r>
    </w:p>
    <w:p>
      <w:r>
        <w:rPr>
          <w:color w:val="2C3E50"/>
          <w:sz w:val="22"/>
        </w:rPr>
        <w:t>- 客户集中度风险过高（苹果依赖）</w:t>
      </w:r>
    </w:p>
    <w:p>
      <w:r>
        <w:rPr>
          <w:color w:val="2C3E50"/>
          <w:sz w:val="22"/>
        </w:rPr>
        <w:t>- 地缘政治不确定性大</w:t>
      </w:r>
    </w:p>
    <w:p>
      <w:r>
        <w:rPr>
          <w:color w:val="2C3E50"/>
          <w:sz w:val="22"/>
        </w:rPr>
        <w:t>- 短期业绩承压（净利润同比下滑）</w:t>
      </w:r>
    </w:p>
    <w:p>
      <w:r>
        <w:rPr>
          <w:color w:val="2C3E50"/>
          <w:sz w:val="22"/>
        </w:rPr>
        <w:t>- 估值虽低但风险溢价高</w:t>
      </w:r>
    </w:p>
    <w:p/>
    <w:p>
      <w:r>
        <w:rPr>
          <w:color w:val="2C3E50"/>
          <w:sz w:val="22"/>
        </w:rPr>
        <w:t>7.2 关注信号（潜在的买入时机）</w:t>
      </w:r>
    </w:p>
    <w:p>
      <w:r>
        <w:rPr>
          <w:color w:val="2C3E50"/>
          <w:sz w:val="22"/>
        </w:rPr>
        <w:t>- 股价跌至35元以下（安全边际）</w:t>
      </w:r>
    </w:p>
    <w:p>
      <w:r>
        <w:rPr>
          <w:color w:val="2C3E50"/>
          <w:sz w:val="22"/>
        </w:rPr>
        <w:t>- 苹果新品发布，订单超预期</w:t>
      </w:r>
    </w:p>
    <w:p>
      <w:r>
        <w:rPr>
          <w:color w:val="2C3E50"/>
          <w:sz w:val="22"/>
        </w:rPr>
        <w:t>- 地缘政治风险缓解</w:t>
      </w:r>
    </w:p>
    <w:p>
      <w:r>
        <w:rPr>
          <w:color w:val="2C3E50"/>
          <w:sz w:val="22"/>
        </w:rPr>
        <w:t>- 季度业绩环比改善</w:t>
      </w:r>
    </w:p>
    <w:p>
      <w:r>
        <w:rPr>
          <w:color w:val="2C3E50"/>
          <w:sz w:val="22"/>
        </w:rPr>
        <w:t>- 汽车电子业务放量</w:t>
      </w:r>
    </w:p>
    <w:p/>
    <w:p>
      <w:r>
        <w:rPr>
          <w:color w:val="2C3E50"/>
          <w:sz w:val="22"/>
        </w:rPr>
        <w:t>7.3 风险提示</w:t>
      </w:r>
    </w:p>
    <w:p>
      <w:r>
        <w:rPr>
          <w:color w:val="2C3E50"/>
          <w:sz w:val="22"/>
        </w:rPr>
        <w:t>🔴 高风险：</w:t>
      </w:r>
    </w:p>
    <w:p>
      <w:r>
        <w:rPr>
          <w:color w:val="2C3E50"/>
          <w:sz w:val="22"/>
        </w:rPr>
        <w:t>- 客户集中风险：苹果订单波动</w:t>
      </w:r>
    </w:p>
    <w:p>
      <w:r>
        <w:rPr>
          <w:color w:val="2C3E50"/>
          <w:sz w:val="22"/>
        </w:rPr>
        <w:t>- 地缘政治风险：台海局势、中美科技战</w:t>
      </w:r>
    </w:p>
    <w:p>
      <w:r>
        <w:rPr>
          <w:color w:val="2C3E50"/>
          <w:sz w:val="22"/>
        </w:rPr>
        <w:t>- 行业周期风险：消费电子下行</w:t>
      </w:r>
    </w:p>
    <w:p>
      <w:r>
        <w:rPr>
          <w:color w:val="2C3E50"/>
          <w:sz w:val="22"/>
        </w:rPr>
        <w:t>- 汇率风险：美元/人民币汇率波动</w:t>
      </w:r>
    </w:p>
    <w:p/>
    <w:p>
      <w:r>
        <w:rPr>
          <w:color w:val="2C3E50"/>
          <w:sz w:val="22"/>
        </w:rPr>
        <w:t>🟡 中等风险：</w:t>
      </w:r>
    </w:p>
    <w:p>
      <w:r>
        <w:rPr>
          <w:color w:val="2C3E50"/>
          <w:sz w:val="22"/>
        </w:rPr>
        <w:t>- 竞争风险：EMS行业价格战</w:t>
      </w:r>
    </w:p>
    <w:p>
      <w:r>
        <w:rPr>
          <w:color w:val="2C3E50"/>
          <w:sz w:val="22"/>
        </w:rPr>
        <w:t>- 技术风险：SiP技术迭代</w:t>
      </w:r>
    </w:p>
    <w:p>
      <w:r>
        <w:rPr>
          <w:color w:val="2C3E50"/>
          <w:sz w:val="22"/>
        </w:rPr>
        <w:t>- 供应链风险：原材料涨价</w:t>
      </w:r>
    </w:p>
    <w:p/>
    <w:p>
      <w:pPr>
        <w:pStyle w:val="Heading1"/>
      </w:pPr>
      <w:r>
        <w:rPr>
          <w:b/>
          <w:sz w:val="32"/>
        </w:rPr>
        <w:t>八、结论</w:t>
      </w:r>
    </w:p>
    <w:p/>
    <w:p>
      <w:r>
        <w:rPr>
          <w:color w:val="2C3E50"/>
          <w:sz w:val="22"/>
        </w:rPr>
        <w:t>环旭电子作为全球领先的EMS厂商，在SiP封装领域具有技术优势，但面临客户集中度过高和地缘政治的双重风险。</w:t>
      </w:r>
    </w:p>
    <w:p/>
    <w:p>
      <w:r>
        <w:rPr>
          <w:color w:val="2C3E50"/>
          <w:sz w:val="22"/>
        </w:rPr>
        <w:t>当前投资评级：</w:t>
      </w:r>
    </w:p>
    <w:p>
      <w:r>
        <w:rPr>
          <w:color w:val="2C3E50"/>
          <w:sz w:val="22"/>
        </w:rPr>
        <w:t>🟡 谨慎观望 / 逢低关注</w:t>
      </w:r>
    </w:p>
    <w:p/>
    <w:p>
      <w:r>
        <w:rPr>
          <w:color w:val="2C3E50"/>
          <w:sz w:val="22"/>
        </w:rPr>
        <w:t>核心观点：</w:t>
      </w:r>
    </w:p>
    <w:p>
      <w:r>
        <w:rPr>
          <w:color w:val="2C3E50"/>
          <w:sz w:val="22"/>
        </w:rPr>
        <w:t>1. 技术优势明显，但客户风险过高</w:t>
      </w:r>
    </w:p>
    <w:p>
      <w:r>
        <w:rPr>
          <w:color w:val="2C3E50"/>
          <w:sz w:val="22"/>
        </w:rPr>
        <w:t>2. 估值合理，但地缘政治风险折价</w:t>
      </w:r>
    </w:p>
    <w:p>
      <w:r>
        <w:rPr>
          <w:color w:val="2C3E50"/>
          <w:sz w:val="22"/>
        </w:rPr>
        <w:t>3. 短期业绩承压，等待拐点信号</w:t>
      </w:r>
    </w:p>
    <w:p>
      <w:r>
        <w:rPr>
          <w:color w:val="2C3E50"/>
          <w:sz w:val="22"/>
        </w:rPr>
        <w:t>4. 35元以下具备安全边际</w:t>
      </w:r>
    </w:p>
    <w:p/>
    <w:p>
      <w:r>
        <w:rPr>
          <w:color w:val="2C3E50"/>
          <w:sz w:val="22"/>
        </w:rPr>
        <w:t>适合投资者：</w:t>
      </w:r>
    </w:p>
    <w:p>
      <w:r>
        <w:rPr>
          <w:color w:val="2C3E50"/>
          <w:sz w:val="22"/>
        </w:rPr>
        <w:t>- 能够承受地缘政治风险的投资者</w:t>
      </w:r>
    </w:p>
    <w:p>
      <w:r>
        <w:rPr>
          <w:color w:val="2C3E50"/>
          <w:sz w:val="22"/>
        </w:rPr>
        <w:t>- 对苹果产业链有深入了解的投资者</w:t>
      </w:r>
    </w:p>
    <w:p>
      <w:r>
        <w:rPr>
          <w:color w:val="2C3E50"/>
          <w:sz w:val="22"/>
        </w:rPr>
        <w:t>- 长期价值投资视角（2-3年）的投资者</w:t>
      </w:r>
    </w:p>
    <w:p>
      <w:r>
        <w:rPr>
          <w:color w:val="2C3E50"/>
          <w:sz w:val="22"/>
        </w:rPr>
        <w:t>- 专业投资者（具备风险识别能力）</w:t>
      </w:r>
    </w:p>
    <w:p/>
    <w:p>
      <w:r>
        <w:rPr>
          <w:color w:val="2C3E50"/>
          <w:sz w:val="22"/>
        </w:rPr>
        <w:t>---</w:t>
      </w:r>
    </w:p>
    <w:p>
      <w:r>
        <w:rPr>
          <w:color w:val="2C3E50"/>
          <w:sz w:val="22"/>
        </w:rPr>
        <w:t>免责声明：本报告仅供参考，不构成投资建议。投资有风险，入市需谨慎。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