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盛泰药业用户侧储能项目方案</w:t>
      </w:r>
    </w:p>
    <w:p>
      <w:r>
        <w:t>盛泰药业用户侧储能项目方案</w:t>
      </w:r>
    </w:p>
    <w:p>
      <w:pPr>
        <w:pStyle w:val="Heading1"/>
      </w:pPr>
    </w:p>
    <w:p>
      <w:r>
        <w:t>一、项目建设意义</w:t>
        <w:br/>
        <w:t>1、降低厂区用电成本</w:t>
        <w:br/>
        <w:t>储能系统在电价较低时充电，电价较高时放电，将电价较高时段</w:t>
        <w:br/>
        <w:t>的电力需求转移至电价较低的时段实现，从而在不改变企业生产用电</w:t>
        <w:br/>
        <w:t>情况下，帮助企业降低整体用电成本。</w:t>
        <w:br/>
        <w:t>2、增加企业额外收入</w:t>
        <w:br/>
        <w:t>储能接入虚拟电厂，参与虚拟电厂“削峰填谷”，通过电力交易，</w:t>
        <w:br/>
        <w:t>获取电网调节服务费</w:t>
        <w:br/>
        <w:t>3、缓解高峰期用电负荷压力</w:t>
        <w:br/>
        <w:t>储能系统在谷时段和平时段进行充电，在峰时段进行放电，有利</w:t>
        <w:br/>
        <w:t>于降低电价峰时段的用电负荷，延缓电网改造，缓解供电压力，促进</w:t>
        <w:br/>
        <w:t>电力工业健康长远地发展。</w:t>
        <w:br/>
        <w:t>4、提高企业用电稳定性</w:t>
        <w:br/>
        <w:t>储能系统可作为企业的备用电源，在电网供电不足时或电网故障</w:t>
        <w:br/>
        <w:t>时向用户供电，从而提升用电稳定性。</w:t>
      </w:r>
    </w:p>
    <w:p>
      <w:pPr>
        <w:pStyle w:val="Heading1"/>
      </w:pPr>
    </w:p>
    <w:p>
      <w:r>
        <w:t>二、企业用电情况分析</w:t>
        <w:br/>
        <w:t>企业目前按需缴费，为确保储能在平段和谷段充电时不超过变压</w:t>
        <w:br/>
        <w:t>器最大需量，需控制储能在平段和谷段时的充电功率，同时保证峰时</w:t>
        <w:br/>
        <w:t>段的消纳。</w:t>
        <w:br/>
        <w:t>经用电数据统计分析，可配置 2 兆瓦光伏加 15 台融和·天禄</w:t>
        <w:br/>
        <w:t>3.0MAX 液冷储能系统。合计规模为：3.75MW/7.5MWh三、合作模式</w:t>
        <w:br/>
        <w:t>外部投资平台与企业签订能源管理合同（EMC），绑定售电业务，</w:t>
        <w:br/>
        <w:t>对节约的电费进行分享。项目运营期内，用能方提供可用物理空间用</w:t>
        <w:br/>
        <w:t>于储能电站建设，并分享节约电费。</w:t>
        <w:br/>
        <w:t>分享比例：投资方享有 90%的节能收益，用能方享有 10%的节能</w:t>
        <w:br/>
        <w:t>收益，运营期 15 年内，储能电站放电量合计约 2618.21 万度，企业</w:t>
        <w:br/>
        <w:t>节能收益分享约 261.82 万元。</w:t>
        <w:br/>
        <w:t>电费按月结算，如采用此合作方式用能方每月将扣除其享有的节</w:t>
        <w:br/>
        <w:t>能收益后的电费支付给投资方。</w:t>
      </w:r>
    </w:p>
    <w:p>
      <w:pPr>
        <w:pStyle w:val="Heading1"/>
      </w:pPr>
    </w:p>
    <w:p>
      <w:r>
        <w:t>四、建设方案</w:t>
      </w:r>
    </w:p>
    <w:p>
      <w:pPr>
        <w:pStyle w:val="Heading1"/>
      </w:pPr>
    </w:p>
    <w:p>
      <w:r>
        <w:t>五、项目案例</w:t>
        <w:br/>
        <w:t>盛泰药业参与虚拟电厂项目方案</w:t>
      </w:r>
    </w:p>
    <w:p>
      <w:pPr>
        <w:pStyle w:val="Heading1"/>
      </w:pPr>
    </w:p>
    <w:p>
      <w:r>
        <w:t>一、虚拟电厂简介</w:t>
        <w:br/>
        <w:t>虚拟电厂（VPP)是实现分布式发电、用户侧储能设备和可控负荷</w:t>
        <w:br/>
        <w:t>的聚合、优化和控制的组织或系统。</w:t>
        <w:br/>
        <w:t>虚拟电厂运营商是指开展虚拟电厂资源聚合业务，并参与电力系</w:t>
        <w:br/>
        <w:t>统运行或电力市场的主体。</w:t>
        <w:br/>
        <w:t>虚拟电厂分三类聚合单元，分别是分布式发电类聚合单元、储能</w:t>
        <w:br/>
        <w:t>类聚合单元、负荷类聚合单元。其中负荷类聚合单元分为调节量负荷</w:t>
        <w:br/>
        <w:t>类单元与全电量负荷类单元。</w:t>
      </w:r>
    </w:p>
    <w:p>
      <w:pPr>
        <w:pStyle w:val="Heading1"/>
      </w:pPr>
    </w:p>
    <w:p>
      <w:r>
        <w:t>二、合作方案</w:t>
        <w:br/>
        <w:t>盛泰药业参与虚拟电厂交易，钏诺获取调节收益的 50%作为运营</w:t>
        <w:br/>
        <w:t>服务费，企业获取收益的 50%。</w:t>
      </w:r>
    </w:p>
    <w:p>
      <w:pPr>
        <w:pStyle w:val="Heading1"/>
      </w:pPr>
    </w:p>
    <w:p>
      <w:r>
        <w:t>三、收益情况</w:t>
        <w:br/>
        <w:t>C 削峰调节，t=∑[(Q 基线，t－Q 实际，t)×P 调节出清，t×（1-α）]</w:t>
        <w:br/>
        <w:t>其中：</w:t>
        <w:br/>
        <w:t>C 削峰调节，t 为调节量负荷类聚合单元 t 时段削峰调节电量电</w:t>
        <w:br/>
        <w:t>费，计算结果为负时取 0；</w:t>
        <w:br/>
        <w:t>Q 基线，t 为调节量负荷类聚合单元 t 时段基线负荷对应用电量；</w:t>
        <w:br/>
        <w:t>Q 实际，t 为调节量负荷类聚合单元 t 时段实际用电量；</w:t>
        <w:br/>
        <w:t>P 调节出清，t 为调节量负荷类聚合单元 t 时段调节电量出清电</w:t>
        <w:br/>
        <w:t>价；</w:t>
        <w:br/>
        <w:t>α为允许偏差范围，根据调节量负荷类聚合单元实际调节效果确定，现阶段α暂取 20%；</w:t>
        <w:br/>
        <w:t>t 时段为调节量负荷类聚合单元出清调节方向为削峰的时段；</w:t>
        <w:br/>
        <w:t>调节量负荷类聚合单元实际调节方向与出清调节方向一致视为</w:t>
        <w:br/>
        <w:t>有效调节，调节电量电费按照本规则予以结算。调节量负荷类聚合单</w:t>
        <w:br/>
        <w:t>元实际调节方向与出清调节方向相反视为无效调节，调节电量电费不</w:t>
        <w:br/>
        <w:t>结算。</w:t>
        <w:br/>
        <w:t>计算案例：Q 调节量=(Q 基线，t－Q 实际，t)=3.75MW</w:t>
        <w:br/>
        <w:t>则：C 削峰调节，t=3.75MW×418 元/MWh×（1-20%）×85%×2h</w:t>
        <w:br/>
        <w:t>=3.75×418×0.8×0.85×2</w:t>
        <w:br/>
        <w:t>=2131.8 元</w:t>
        <w:br/>
        <w:t>企业可获取收益为：2131.8×50%=1065.9 元</w:t>
        <w:br/>
        <w:t>根据山东实际情况，虚拟电厂年运行达可达 300 次，企业年收益</w:t>
        <w:br/>
        <w:t>约 1065.9×300=319770 元</w:t>
        <w:br/>
        <w:t>注：P 调节出清，t=418 元/兆瓦时为山东省 2026 年 1-3 月调节</w:t>
        <w:br/>
        <w:t>时段 2 小时的实时价格均价（26 年 1 月 17：00-18：00 平均值为 406.9，</w:t>
        <w:br/>
        <w:t>26 年 2 月 18：00-19：00 平均值 378.8，26 年 3 月 20：00-21：00</w:t>
        <w:br/>
        <w:t>平均值 468.2），储能充放效率按 85%计算，充放各 2 小时。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