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中矿资源 (002738.SZ) 股票分析报告</w:t>
      </w:r>
    </w:p>
    <w:p>
      <w:pPr>
        <w:jc w:val="center"/>
      </w:pPr>
      <w:r>
        <w:rPr>
          <w:color w:val="808080"/>
          <w:sz w:val="22"/>
        </w:rPr>
        <w:t>分析时间：2026-04-09 | 当前股价：78.0元（+0.31%）| 市值：~562亿</w:t>
      </w:r>
    </w:p>
    <w:p/>
    <w:p>
      <w:pPr>
        <w:pStyle w:val="Heading1"/>
      </w:pPr>
      <w:r>
        <w:t>一、技术面分析</w:t>
      </w:r>
    </w:p>
    <w:p>
      <w:r>
        <w:drawing>
          <wp:inline xmlns:a="http://schemas.openxmlformats.org/drawingml/2006/main" xmlns:pic="http://schemas.openxmlformats.org/drawingml/2006/picture">
            <wp:extent cx="5486400" cy="26198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_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9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图1：日K线图 — 近期走势</w:t>
      </w:r>
    </w:p>
    <w:p>
      <w:r>
        <w:drawing>
          <wp:inline xmlns:a="http://schemas.openxmlformats.org/drawingml/2006/main" xmlns:pic="http://schemas.openxmlformats.org/drawingml/2006/picture">
            <wp:extent cx="5486400" cy="28090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_intrad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9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图2：分时图 — 今日走势</w:t>
      </w:r>
    </w:p>
    <w:p/>
    <w:p>
      <w:pPr>
        <w:pStyle w:val="Heading2"/>
      </w:pPr>
      <w:r>
        <w:t>1.1 走势概览</w:t>
      </w:r>
    </w:p>
    <w:p>
      <w:r>
        <w:t>股价自2025年中低点27元附近持续上涨，2026年1月创出100.86元高点后回落整固，目前在75-79元区间震荡，4月9日上涨0.31%收于78元，逼近前期高点。</w:t>
      </w:r>
    </w:p>
    <w:p>
      <w:pPr>
        <w:pStyle w:val="Heading2"/>
      </w:pPr>
      <w:r>
        <w:t>1.2 均线系统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均线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MA5</w:t>
            </w:r>
          </w:p>
        </w:tc>
        <w:tc>
          <w:tcPr>
            <w:tcW w:type="dxa" w:w="2880"/>
          </w:tcPr>
          <w:p>
            <w:r>
              <w:t>75.24</w:t>
            </w:r>
          </w:p>
        </w:tc>
        <w:tc>
          <w:tcPr>
            <w:tcW w:type="dxa" w:w="2880"/>
          </w:tcPr>
          <w:p>
            <w:r>
              <w:t>向上</w:t>
            </w:r>
          </w:p>
        </w:tc>
      </w:tr>
      <w:tr>
        <w:tc>
          <w:tcPr>
            <w:tcW w:type="dxa" w:w="2880"/>
          </w:tcPr>
          <w:p>
            <w:r>
              <w:t>MA20</w:t>
            </w:r>
          </w:p>
        </w:tc>
        <w:tc>
          <w:tcPr>
            <w:tcW w:type="dxa" w:w="2880"/>
          </w:tcPr>
          <w:p>
            <w:r>
              <w:t>72.09</w:t>
            </w:r>
          </w:p>
        </w:tc>
        <w:tc>
          <w:tcPr>
            <w:tcW w:type="dxa" w:w="2880"/>
          </w:tcPr>
          <w:p>
            <w:r>
              <w:t>向上</w:t>
            </w:r>
          </w:p>
        </w:tc>
      </w:tr>
      <w:tr>
        <w:tc>
          <w:tcPr>
            <w:tcW w:type="dxa" w:w="2880"/>
          </w:tcPr>
          <w:p>
            <w:r>
              <w:t>MA60</w:t>
            </w:r>
          </w:p>
        </w:tc>
        <w:tc>
          <w:tcPr>
            <w:tcW w:type="dxa" w:w="2880"/>
          </w:tcPr>
          <w:p>
            <w:r>
              <w:t>81.0</w:t>
            </w:r>
          </w:p>
        </w:tc>
        <w:tc>
          <w:tcPr>
            <w:tcW w:type="dxa" w:w="2880"/>
          </w:tcPr>
          <w:p>
            <w:r>
              <w:t>向下</w:t>
            </w:r>
          </w:p>
        </w:tc>
      </w:tr>
      <w:tr>
        <w:tc>
          <w:tcPr>
            <w:tcW w:type="dxa" w:w="2880"/>
          </w:tcPr>
          <w:p>
            <w:r>
              <w:t>MA5/MA20</w:t>
            </w:r>
          </w:p>
        </w:tc>
        <w:tc>
          <w:tcPr>
            <w:tcW w:type="dxa" w:w="2880"/>
          </w:tcPr>
          <w:p>
            <w:r>
              <w:t>交叉缠绕</w:t>
            </w:r>
          </w:p>
        </w:tc>
        <w:tc>
          <w:tcPr>
            <w:tcW w:type="dxa" w:w="2880"/>
          </w:tcPr>
          <w:p>
            <w:r>
              <w:t>中性</w:t>
            </w:r>
          </w:p>
        </w:tc>
      </w:tr>
    </w:tbl>
    <w:p>
      <w:r>
        <w:t>均线系统显示：短期均线向上，中期均线向下，整体震荡格局。</w:t>
      </w:r>
    </w:p>
    <w:p>
      <w:pPr>
        <w:pStyle w:val="Heading2"/>
      </w:pPr>
      <w:r>
        <w:t>1.3 支撑与压力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位置</w:t>
            </w:r>
          </w:p>
        </w:tc>
        <w:tc>
          <w:tcPr>
            <w:tcW w:type="dxa" w:w="2880"/>
          </w:tcPr>
          <w:p>
            <w:r>
              <w:t>意义</w:t>
            </w:r>
          </w:p>
        </w:tc>
      </w:tr>
      <w:tr>
        <w:tc>
          <w:tcPr>
            <w:tcW w:type="dxa" w:w="2880"/>
          </w:tcPr>
          <w:p>
            <w:r>
              <w:t>支撑1</w:t>
            </w:r>
          </w:p>
        </w:tc>
        <w:tc>
          <w:tcPr>
            <w:tcW w:type="dxa" w:w="2880"/>
          </w:tcPr>
          <w:p>
            <w:r>
              <w:t>75元（MA5）</w:t>
            </w:r>
          </w:p>
        </w:tc>
        <w:tc>
          <w:tcPr>
            <w:tcW w:type="dxa" w:w="2880"/>
          </w:tcPr>
          <w:p>
            <w:r>
              <w:t>近期低点，需守住</w:t>
            </w:r>
          </w:p>
        </w:tc>
      </w:tr>
      <w:tr>
        <w:tc>
          <w:tcPr>
            <w:tcW w:type="dxa" w:w="2880"/>
          </w:tcPr>
          <w:p>
            <w:r>
              <w:t>支撑2</w:t>
            </w:r>
          </w:p>
        </w:tc>
        <w:tc>
          <w:tcPr>
            <w:tcW w:type="dxa" w:w="2880"/>
          </w:tcPr>
          <w:p>
            <w:r>
              <w:t>72元（MA20）</w:t>
            </w:r>
          </w:p>
        </w:tc>
        <w:tc>
          <w:tcPr>
            <w:tcW w:type="dxa" w:w="2880"/>
          </w:tcPr>
          <w:p>
            <w:r>
              <w:t>中期支撑</w:t>
            </w:r>
          </w:p>
        </w:tc>
      </w:tr>
      <w:tr>
        <w:tc>
          <w:tcPr>
            <w:tcW w:type="dxa" w:w="2880"/>
          </w:tcPr>
          <w:p>
            <w:r>
              <w:t>压力1</w:t>
            </w:r>
          </w:p>
        </w:tc>
        <w:tc>
          <w:tcPr>
            <w:tcW w:type="dxa" w:w="2880"/>
          </w:tcPr>
          <w:p>
            <w:r>
              <w:t>78.69元</w:t>
            </w:r>
          </w:p>
        </w:tc>
        <w:tc>
          <w:tcPr>
            <w:tcW w:type="dxa" w:w="2880"/>
          </w:tcPr>
          <w:p>
            <w:r>
              <w:t>52周高点，需放量突破</w:t>
            </w:r>
          </w:p>
        </w:tc>
      </w:tr>
      <w:tr>
        <w:tc>
          <w:tcPr>
            <w:tcW w:type="dxa" w:w="2880"/>
          </w:tcPr>
          <w:p>
            <w:r>
              <w:t>压力2</w:t>
            </w:r>
          </w:p>
        </w:tc>
        <w:tc>
          <w:tcPr>
            <w:tcW w:type="dxa" w:w="2880"/>
          </w:tcPr>
          <w:p>
            <w:r>
              <w:t>81元（MA60）</w:t>
            </w:r>
          </w:p>
        </w:tc>
        <w:tc>
          <w:tcPr>
            <w:tcW w:type="dxa" w:w="2880"/>
          </w:tcPr>
          <w:p>
            <w:r>
              <w:t>中期均线压力</w:t>
            </w:r>
          </w:p>
        </w:tc>
      </w:tr>
    </w:tbl>
    <w:p>
      <w:pPr>
        <w:pStyle w:val="Heading2"/>
      </w:pPr>
      <w:r>
        <w:t>1.4 今日分时解读</w:t>
      </w:r>
    </w:p>
    <w:p>
      <w:r>
        <w:t>• 开盘：77.76元（前一日收盘）</w:t>
      </w:r>
    </w:p>
    <w:p>
      <w:r>
        <w:t>• 最高：78.69元（涨1.2%，接近52周高点）</w:t>
      </w:r>
    </w:p>
    <w:p>
      <w:r>
        <w:t>• 最低：77.76元</w:t>
      </w:r>
    </w:p>
    <w:p>
      <w:r>
        <w:t>• 收盘：78.0元（+0.31%）</w:t>
      </w:r>
    </w:p>
    <w:p>
      <w:r>
        <w:t>• 成交量：0.58倍均量，量能萎缩</w:t>
      </w:r>
    </w:p>
    <w:p>
      <w:pPr>
        <w:pStyle w:val="Heading2"/>
      </w:pPr>
      <w:r>
        <w:t>1.5 关键技术信号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信号</w:t>
            </w:r>
          </w:p>
        </w:tc>
      </w:tr>
      <w:tr>
        <w:tc>
          <w:tcPr>
            <w:tcW w:type="dxa" w:w="2880"/>
          </w:tcPr>
          <w:p>
            <w:r>
              <w:t>RSI</w:t>
            </w:r>
          </w:p>
        </w:tc>
        <w:tc>
          <w:tcPr>
            <w:tcW w:type="dxa" w:w="2880"/>
          </w:tcPr>
          <w:p>
            <w:r>
              <w:t>55.8</w:t>
            </w:r>
          </w:p>
        </w:tc>
        <w:tc>
          <w:tcPr>
            <w:tcW w:type="dxa" w:w="2880"/>
          </w:tcPr>
          <w:p>
            <w:r>
              <w:t>中性（50上方偏多）</w:t>
            </w:r>
          </w:p>
        </w:tc>
      </w:tr>
      <w:tr>
        <w:tc>
          <w:tcPr>
            <w:tcW w:type="dxa" w:w="2880"/>
          </w:tcPr>
          <w:p>
            <w:r>
              <w:t>MACD</w:t>
            </w:r>
          </w:p>
        </w:tc>
        <w:tc>
          <w:tcPr>
            <w:tcW w:type="dxa" w:w="2880"/>
          </w:tcPr>
          <w:p>
            <w:r>
              <w:t>动能增强</w:t>
            </w:r>
          </w:p>
        </w:tc>
        <w:tc>
          <w:tcPr>
            <w:tcW w:type="dxa" w:w="2880"/>
          </w:tcPr>
          <w:p>
            <w:r>
              <w:t>DIF向上，红柱放大</w:t>
            </w:r>
          </w:p>
        </w:tc>
      </w:tr>
      <w:tr>
        <w:tc>
          <w:tcPr>
            <w:tcW w:type="dxa" w:w="2880"/>
          </w:tcPr>
          <w:p>
            <w:r>
              <w:t>MA状态</w:t>
            </w:r>
          </w:p>
        </w:tc>
        <w:tc>
          <w:tcPr>
            <w:tcW w:type="dxa" w:w="2880"/>
          </w:tcPr>
          <w:p>
            <w:r>
              <w:t>交叉缠绕</w:t>
            </w:r>
          </w:p>
        </w:tc>
        <w:tc>
          <w:tcPr>
            <w:tcW w:type="dxa" w:w="2880"/>
          </w:tcPr>
          <w:p>
            <w:r>
              <w:t>震荡</w:t>
            </w:r>
          </w:p>
        </w:tc>
      </w:tr>
      <w:tr>
        <w:tc>
          <w:tcPr>
            <w:tcW w:type="dxa" w:w="2880"/>
          </w:tcPr>
          <w:p>
            <w:r>
              <w:t>量能</w:t>
            </w:r>
          </w:p>
        </w:tc>
        <w:tc>
          <w:tcPr>
            <w:tcW w:type="dxa" w:w="2880"/>
          </w:tcPr>
          <w:p>
            <w:r>
              <w:t>0.58倍</w:t>
            </w:r>
          </w:p>
        </w:tc>
        <w:tc>
          <w:tcPr>
            <w:tcW w:type="dxa" w:w="2880"/>
          </w:tcPr>
          <w:p>
            <w:r>
              <w:t>缩量，需补量确认</w:t>
            </w:r>
          </w:p>
        </w:tc>
      </w:tr>
    </w:tbl>
    <w:p>
      <w:r>
        <w:rPr>
          <w:b/>
        </w:rPr>
        <w:t>技术面评级：🟡 中性偏强（MACD向好，但量能不足）</w:t>
      </w:r>
    </w:p>
    <w:p/>
    <w:p>
      <w:pPr>
        <w:pStyle w:val="Heading1"/>
      </w:pPr>
      <w:r>
        <w:t>二、基本面分析</w:t>
      </w:r>
    </w:p>
    <w:p>
      <w:pPr>
        <w:pStyle w:val="Heading2"/>
      </w:pPr>
      <w:r>
        <w:t>2.1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市盈率 (PE)</w:t>
            </w:r>
          </w:p>
        </w:tc>
        <w:tc>
          <w:tcPr>
            <w:tcW w:type="dxa" w:w="2880"/>
          </w:tcPr>
          <w:p>
            <w:r>
              <w:t>122.97</w:t>
            </w:r>
          </w:p>
        </w:tc>
        <w:tc>
          <w:tcPr>
            <w:tcW w:type="dxa" w:w="2880"/>
          </w:tcPr>
          <w:p>
            <w:r>
              <w:t>较高</w:t>
            </w:r>
          </w:p>
        </w:tc>
      </w:tr>
      <w:tr>
        <w:tc>
          <w:tcPr>
            <w:tcW w:type="dxa" w:w="2880"/>
          </w:tcPr>
          <w:p>
            <w:r>
              <w:t>市净率 (PB)</w:t>
            </w:r>
          </w:p>
        </w:tc>
        <w:tc>
          <w:tcPr>
            <w:tcW w:type="dxa" w:w="2880"/>
          </w:tcPr>
          <w:p>
            <w:r>
              <w:t>4.62</w:t>
            </w:r>
          </w:p>
        </w:tc>
        <w:tc>
          <w:tcPr>
            <w:tcW w:type="dxa" w:w="2880"/>
          </w:tcPr>
          <w:p>
            <w:r>
              <w:t>中性</w:t>
            </w:r>
          </w:p>
        </w:tc>
      </w:tr>
      <w:tr>
        <w:tc>
          <w:tcPr>
            <w:tcW w:type="dxa" w:w="2880"/>
          </w:tcPr>
          <w:p>
            <w:r>
              <w:t>52周高点</w:t>
            </w:r>
          </w:p>
        </w:tc>
        <w:tc>
          <w:tcPr>
            <w:tcW w:type="dxa" w:w="2880"/>
          </w:tcPr>
          <w:p>
            <w:r>
              <w:t>78.69元</w:t>
            </w:r>
          </w:p>
        </w:tc>
        <w:tc>
          <w:tcPr>
            <w:tcW w:type="dxa" w:w="2880"/>
          </w:tcPr>
          <w:p>
            <w:r>
              <w:t>当前接近</w:t>
            </w:r>
          </w:p>
        </w:tc>
      </w:tr>
      <w:tr>
        <w:tc>
          <w:tcPr>
            <w:tcW w:type="dxa" w:w="2880"/>
          </w:tcPr>
          <w:p>
            <w:r>
              <w:t>52周低点</w:t>
            </w:r>
          </w:p>
        </w:tc>
        <w:tc>
          <w:tcPr>
            <w:tcW w:type="dxa" w:w="2880"/>
          </w:tcPr>
          <w:p>
            <w:r>
              <w:t>27.01元</w:t>
            </w:r>
          </w:p>
        </w:tc>
        <w:tc>
          <w:tcPr>
            <w:tcW w:type="dxa" w:w="2880"/>
          </w:tcPr>
          <w:p>
            <w:r>
              <w:t>已大涨190%</w:t>
            </w:r>
          </w:p>
        </w:tc>
      </w:tr>
    </w:tbl>
    <w:p>
      <w:pPr>
        <w:pStyle w:val="Heading2"/>
      </w:pPr>
      <w:r>
        <w:t>2.2 2025年业绩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报告期</w:t>
            </w:r>
          </w:p>
        </w:tc>
        <w:tc>
          <w:tcPr>
            <w:tcW w:type="dxa" w:w="1728"/>
          </w:tcPr>
          <w:p>
            <w:r>
              <w:t>营收</w:t>
            </w:r>
          </w:p>
        </w:tc>
        <w:tc>
          <w:tcPr>
            <w:tcW w:type="dxa" w:w="1728"/>
          </w:tcPr>
          <w:p>
            <w:r>
              <w:t>同比</w:t>
            </w:r>
          </w:p>
        </w:tc>
        <w:tc>
          <w:tcPr>
            <w:tcW w:type="dxa" w:w="1728"/>
          </w:tcPr>
          <w:p>
            <w:r>
              <w:t>净利</w:t>
            </w:r>
          </w:p>
        </w:tc>
        <w:tc>
          <w:tcPr>
            <w:tcW w:type="dxa" w:w="1728"/>
          </w:tcPr>
          <w:p>
            <w:r>
              <w:t>同比</w:t>
            </w:r>
          </w:p>
        </w:tc>
      </w:tr>
      <w:tr>
        <w:tc>
          <w:tcPr>
            <w:tcW w:type="dxa" w:w="1728"/>
          </w:tcPr>
          <w:p>
            <w:r>
              <w:t>2025全年</w:t>
            </w:r>
          </w:p>
        </w:tc>
        <w:tc>
          <w:tcPr>
            <w:tcW w:type="dxa" w:w="1728"/>
          </w:tcPr>
          <w:p>
            <w:r>
              <w:t>48.18亿</w:t>
            </w:r>
          </w:p>
        </w:tc>
        <w:tc>
          <w:tcPr>
            <w:tcW w:type="dxa" w:w="1728"/>
          </w:tcPr>
          <w:p>
            <w:r>
              <w:t>+34.99%</w:t>
            </w:r>
          </w:p>
        </w:tc>
        <w:tc>
          <w:tcPr>
            <w:tcW w:type="dxa" w:w="1728"/>
          </w:tcPr>
          <w:p>
            <w:r>
              <w:t>2.04亿</w:t>
            </w:r>
          </w:p>
        </w:tc>
        <w:tc>
          <w:tcPr>
            <w:tcW w:type="dxa" w:w="1728"/>
          </w:tcPr>
          <w:p>
            <w:r>
              <w:t>-62.58%</w:t>
            </w:r>
          </w:p>
        </w:tc>
      </w:tr>
      <w:tr>
        <w:tc>
          <w:tcPr>
            <w:tcW w:type="dxa" w:w="1728"/>
          </w:tcPr>
          <w:p>
            <w:r>
              <w:t>2025Q3</w:t>
            </w:r>
          </w:p>
        </w:tc>
        <w:tc>
          <w:tcPr>
            <w:tcW w:type="dxa" w:w="1728"/>
          </w:tcPr>
          <w:p>
            <w:r>
              <w:t>15.51亿</w:t>
            </w:r>
          </w:p>
        </w:tc>
        <w:tc>
          <w:tcPr>
            <w:tcW w:type="dxa" w:w="1728"/>
          </w:tcPr>
          <w:p>
            <w:r>
              <w:t>+35.19%</w:t>
            </w:r>
          </w:p>
        </w:tc>
        <w:tc>
          <w:tcPr>
            <w:tcW w:type="dxa" w:w="1728"/>
          </w:tcPr>
          <w:p>
            <w:r>
              <w:t>1.15亿</w:t>
            </w:r>
          </w:p>
        </w:tc>
        <w:tc>
          <w:tcPr>
            <w:tcW w:type="dxa" w:w="1728"/>
          </w:tcPr>
          <w:p>
            <w:r>
              <w:t>+58.18%</w:t>
            </w:r>
          </w:p>
        </w:tc>
      </w:tr>
    </w:tbl>
    <w:p>
      <w:r>
        <w:rPr>
          <w:b/>
        </w:rPr>
        <w:t>关键点：</w:t>
      </w:r>
    </w:p>
    <w:p>
      <w:r>
        <w:t>营收增长但净利下滑，主要因锂价下跌压制盈利能力。</w:t>
      </w:r>
    </w:p>
    <w:p>
      <w:pPr>
        <w:pStyle w:val="Heading2"/>
      </w:pPr>
      <w:r>
        <w:t>2.3 业务结构</w:t>
      </w:r>
    </w:p>
    <w:p>
      <w:r>
        <w:t>中矿资源主营：</w:t>
      </w:r>
    </w:p>
    <w:p>
      <w:r>
        <w:t>• 锂电新材料：碳酸锂、氢氧化锂</w:t>
      </w:r>
    </w:p>
    <w:p>
      <w:r>
        <w:t>• 稀有金属：铯、铷（全球垄断优势）</w:t>
      </w:r>
    </w:p>
    <w:p>
      <w:r>
        <w:t>• 地勘技术服务：传统业务</w:t>
      </w:r>
    </w:p>
    <w:p>
      <w:pPr>
        <w:pStyle w:val="Heading2"/>
      </w:pPr>
      <w:r>
        <w:t>2.4 研报观点</w:t>
      </w:r>
    </w:p>
    <w:p>
      <w:r>
        <w:t>最新券商评级（2026年4月）：</w:t>
      </w:r>
    </w:p>
    <w:p>
      <w:r>
        <w:t>• 东吴证券：买入（机器人+航空航天打开增量空间）</w:t>
      </w:r>
    </w:p>
    <w:p>
      <w:r>
        <w:t>• 华源证券：买入（毛利率持续改善，在手订单超千亿）</w:t>
      </w:r>
    </w:p>
    <w:p>
      <w:r>
        <w:t>• 国信证券：增持（资源端和材料端持续突破）</w:t>
      </w:r>
    </w:p>
    <w:p>
      <w:r>
        <w:rPr>
          <w:b/>
        </w:rPr>
        <w:t>基本面评级：🟡 中性（营收增长、券商看好，但PE偏高、净利下滑）</w:t>
      </w:r>
    </w:p>
    <w:p/>
    <w:p>
      <w:pPr>
        <w:pStyle w:val="Heading1"/>
      </w:pPr>
      <w:r>
        <w:t>三、资金流向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主力净流入</w:t>
            </w:r>
          </w:p>
        </w:tc>
        <w:tc>
          <w:tcPr>
            <w:tcW w:type="dxa" w:w="2880"/>
          </w:tcPr>
          <w:p>
            <w:r>
              <w:t>散户净流入</w:t>
            </w:r>
          </w:p>
        </w:tc>
      </w:tr>
      <w:tr>
        <w:tc>
          <w:tcPr>
            <w:tcW w:type="dxa" w:w="2880"/>
          </w:tcPr>
          <w:p>
            <w:r>
              <w:t>4月9日</w:t>
            </w:r>
          </w:p>
        </w:tc>
        <w:tc>
          <w:tcPr>
            <w:tcW w:type="dxa" w:w="2880"/>
          </w:tcPr>
          <w:p>
            <w:r>
              <w:t>-4191万</w:t>
            </w:r>
          </w:p>
        </w:tc>
        <w:tc>
          <w:tcPr>
            <w:tcW w:type="dxa" w:w="2880"/>
          </w:tcPr>
          <w:p>
            <w:r>
              <w:t>+1400万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融资余额：31.77亿元（4月8日），环比+3.30%，融资客在加仓。</w:t>
      </w:r>
    </w:p>
    <w:p>
      <w:r>
        <w:rPr>
          <w:b/>
        </w:rPr>
        <w:t>资金面评级：🔴 偏弱（主力净流出，但融资余额上升）</w:t>
      </w:r>
    </w:p>
    <w:p/>
    <w:p>
      <w:pPr>
        <w:pStyle w:val="Heading1"/>
      </w:pPr>
      <w:r>
        <w:t>四、综合判断</w:t>
      </w:r>
    </w:p>
    <w:p>
      <w:pPr>
        <w:pStyle w:val="Heading2"/>
      </w:pPr>
      <w:r>
        <w:t>4.1 多空对比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🟢 做多逻辑</w:t>
            </w:r>
          </w:p>
        </w:tc>
        <w:tc>
          <w:tcPr>
            <w:tcW w:type="dxa" w:w="4320"/>
          </w:tcPr>
          <w:p>
            <w:r>
              <w:t>🔴 做空逻辑</w:t>
            </w:r>
          </w:p>
        </w:tc>
      </w:tr>
      <w:tr>
        <w:tc>
          <w:tcPr>
            <w:tcW w:type="dxa" w:w="4320"/>
          </w:tcPr>
          <w:p>
            <w:r>
              <w:t>锂价修复，Q3净利大增58%</w:t>
            </w:r>
          </w:p>
        </w:tc>
        <w:tc>
          <w:tcPr>
            <w:tcW w:type="dxa" w:w="4320"/>
          </w:tcPr>
          <w:p>
            <w:r>
              <w:t>PE高达123倍，估值极贵</w:t>
            </w:r>
          </w:p>
        </w:tc>
      </w:tr>
      <w:tr>
        <w:tc>
          <w:tcPr>
            <w:tcW w:type="dxa" w:w="4320"/>
          </w:tcPr>
          <w:p>
            <w:r>
              <w:t>券商普遍买入评级</w:t>
            </w:r>
          </w:p>
        </w:tc>
        <w:tc>
          <w:tcPr>
            <w:tcW w:type="dxa" w:w="4320"/>
          </w:tcPr>
          <w:p>
            <w:r>
              <w:t>2025全年净利下滑62%</w:t>
            </w:r>
          </w:p>
        </w:tc>
      </w:tr>
      <w:tr>
        <w:tc>
          <w:tcPr>
            <w:tcW w:type="dxa" w:w="4320"/>
          </w:tcPr>
          <w:p>
            <w:r>
              <w:t>融资余额持续增长</w:t>
            </w:r>
          </w:p>
        </w:tc>
        <w:tc>
          <w:tcPr>
            <w:tcW w:type="dxa" w:w="4320"/>
          </w:tcPr>
          <w:p>
            <w:r>
              <w:t>主力资金连续净流出</w:t>
            </w:r>
          </w:p>
        </w:tc>
      </w:tr>
      <w:tr>
        <w:tc>
          <w:tcPr>
            <w:tcW w:type="dxa" w:w="4320"/>
          </w:tcPr>
          <w:p>
            <w:r>
              <w:t>铯铷全球垄断，护城河深</w:t>
            </w:r>
          </w:p>
        </w:tc>
        <w:tc>
          <w:tcPr>
            <w:tcW w:type="dxa" w:w="4320"/>
          </w:tcPr>
          <w:p>
            <w:r>
              <w:t>成交量萎缩，上涨动力不足</w:t>
            </w:r>
          </w:p>
        </w:tc>
      </w:tr>
    </w:tbl>
    <w:p>
      <w:pPr>
        <w:pStyle w:val="Heading2"/>
      </w:pPr>
      <w:r>
        <w:t>4.2 核心结论</w:t>
      </w:r>
    </w:p>
    <w:p>
      <w:r>
        <w:rPr>
          <w:b/>
          <w:sz w:val="28"/>
        </w:rPr>
        <w:t>总评级：🟡 观望</w:t>
      </w:r>
    </w:p>
    <w:p>
      <w:r>
        <w:t>理由：</w:t>
      </w:r>
    </w:p>
    <w:p>
      <w:r>
        <w:t>1. 技术面MACD向好，但量能不足，突破需要补量</w:t>
      </w:r>
    </w:p>
    <w:p>
      <w:r>
        <w:t>2. 基本面营收增长但净利下滑，PE极高（123倍）</w:t>
      </w:r>
    </w:p>
    <w:p>
      <w:r>
        <w:t>3. 券商看好但目标价与现价差距大（历史目标价45-48元，当前78元已超预期）</w:t>
      </w:r>
    </w:p>
    <w:p>
      <w:r>
        <w:t>4. 主力资金连续净流出，筹码分散</w:t>
      </w:r>
    </w:p>
    <w:p>
      <w:pPr>
        <w:pStyle w:val="Heading2"/>
      </w:pPr>
      <w:r>
        <w:t>4.3 操作建议</w:t>
      </w:r>
    </w:p>
    <w:p>
      <w:r>
        <w:t>• 已持仓者：可持有，但需设78.69元止损，跌破75考虑减仓</w:t>
      </w:r>
    </w:p>
    <w:p>
      <w:r>
        <w:t>• 观望者：暂不追高，等回踩72-75元支撑再考虑</w:t>
      </w:r>
    </w:p>
    <w:p>
      <w:r>
        <w:t>• 短线者：78-79元区间高抛低吸，破75止损</w:t>
      </w:r>
    </w:p>
    <w:p/>
    <w:p>
      <w:pPr>
        <w:pStyle w:val="Heading1"/>
      </w:pPr>
      <w:r>
        <w:t>五、风险提示</w:t>
      </w:r>
    </w:p>
    <w:p>
      <w:r>
        <w:t>1. 锂价波动风险：公司盈利与锂价高度相关</w:t>
      </w:r>
    </w:p>
    <w:p>
      <w:r>
        <w:t>2. 估值风险：PE 123倍，股价已充分反映乐观预期</w:t>
      </w:r>
    </w:p>
    <w:p>
      <w:r>
        <w:t>3. 解禁风险：需关注股东减持动态</w:t>
      </w:r>
    </w:p>
    <w:p>
      <w:r>
        <w:t>4. 市场情绪：资源品周期波动大</w:t>
      </w:r>
    </w:p>
    <w:p/>
    <w:p/>
    <w:p>
      <w:pPr>
        <w:jc w:val="center"/>
      </w:pPr>
      <w:r>
        <w:rPr>
          <w:color w:val="808080"/>
          <w:sz w:val="18"/>
        </w:rPr>
        <w:t>报告由雪子助手生成 | 数据来源：东方财富、券商研报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