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中矿资源（002738）深度分析报告</w:t>
      </w:r>
    </w:p>
    <w:p>
      <w:r>
        <w:t>报告日期：2026年03月07日</w:t>
      </w:r>
    </w:p>
    <w:p>
      <w:r>
        <w:t>分析机构：雪子智能投研</w:t>
      </w:r>
    </w:p>
    <w:p>
      <w:r>
        <w:t>分析师：AI投研助手</w:t>
      </w:r>
    </w:p>
    <w:p/>
    <w:p>
      <w:pPr>
        <w:pStyle w:val="Heading1"/>
      </w:pPr>
      <w:r>
        <w:t>一、 Executive Summary 执行摘要</w:t>
      </w:r>
    </w:p>
    <w:p>
      <w:pPr>
        <w:pStyle w:val="Heading2"/>
      </w:pPr>
      <w:r>
        <w:t>1.1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综合评级</w:t>
            </w:r>
          </w:p>
        </w:tc>
        <w:tc>
          <w:tcPr>
            <w:tcW w:type="dxa" w:w="4320"/>
          </w:tcPr>
          <w:p>
            <w:r>
              <w:t>卖出 ⭐⭐</w:t>
            </w:r>
          </w:p>
        </w:tc>
      </w:tr>
      <w:tr>
        <w:tc>
          <w:tcPr>
            <w:tcW w:type="dxa" w:w="4320"/>
          </w:tcPr>
          <w:p>
            <w:r>
              <w:t>总分</w:t>
            </w:r>
          </w:p>
        </w:tc>
        <w:tc>
          <w:tcPr>
            <w:tcW w:type="dxa" w:w="4320"/>
          </w:tcPr>
          <w:p>
            <w:r>
              <w:t>45/100</w:t>
            </w:r>
          </w:p>
        </w:tc>
      </w:tr>
    </w:tbl>
    <w:p/>
    <w:p>
      <w:pPr>
        <w:pStyle w:val="Heading2"/>
      </w:pPr>
      <w:r>
        <w:t>1.2 关键数据概览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当前价格</w:t>
            </w:r>
          </w:p>
        </w:tc>
        <w:tc>
          <w:tcPr>
            <w:tcW w:type="dxa" w:w="2880"/>
          </w:tcPr>
          <w:p>
            <w:r>
              <w:t>¥79.07</w:t>
            </w:r>
          </w:p>
        </w:tc>
        <w:tc>
          <w:tcPr>
            <w:tcW w:type="dxa" w:w="2880"/>
          </w:tcPr>
          <w:p>
            <w:r>
              <w:t>-1.78%</w:t>
            </w:r>
          </w:p>
        </w:tc>
      </w:tr>
      <w:tr>
        <w:tc>
          <w:tcPr>
            <w:tcW w:type="dxa" w:w="2880"/>
          </w:tcPr>
          <w:p>
            <w:r>
              <w:t>市盈率(PE-TTM)</w:t>
            </w:r>
          </w:p>
        </w:tc>
        <w:tc>
          <w:tcPr>
            <w:tcW w:type="dxa" w:w="2880"/>
          </w:tcPr>
          <w:p>
            <w:r>
              <w:t>137.319</w:t>
            </w:r>
          </w:p>
        </w:tc>
        <w:tc>
          <w:tcPr>
            <w:tcW w:type="dxa" w:w="2880"/>
          </w:tcPr>
          <w:p>
            <w:r>
              <w:t>极高</w:t>
            </w:r>
          </w:p>
        </w:tc>
      </w:tr>
      <w:tr>
        <w:tc>
          <w:tcPr>
            <w:tcW w:type="dxa" w:w="2880"/>
          </w:tcPr>
          <w:p>
            <w:r>
              <w:t>市净率(PB)</w:t>
            </w:r>
          </w:p>
        </w:tc>
        <w:tc>
          <w:tcPr>
            <w:tcW w:type="dxa" w:w="2880"/>
          </w:tcPr>
          <w:p>
            <w:r>
              <w:t>4.749</w:t>
            </w:r>
          </w:p>
        </w:tc>
        <w:tc>
          <w:tcPr>
            <w:tcW w:type="dxa" w:w="2880"/>
          </w:tcPr>
          <w:p>
            <w:r>
              <w:t>偏高</w:t>
            </w:r>
          </w:p>
        </w:tc>
      </w:tr>
      <w:tr>
        <w:tc>
          <w:tcPr>
            <w:tcW w:type="dxa" w:w="2880"/>
          </w:tcPr>
          <w:p>
            <w:r>
              <w:t>52周位置</w:t>
            </w:r>
          </w:p>
        </w:tc>
        <w:tc>
          <w:tcPr>
            <w:tcW w:type="dxa" w:w="2880"/>
          </w:tcPr>
          <w:p>
            <w:r>
              <w:t>71%</w:t>
            </w:r>
          </w:p>
        </w:tc>
        <w:tc>
          <w:tcPr>
            <w:tcW w:type="dxa" w:w="2880"/>
          </w:tcPr>
          <w:p>
            <w:r>
              <w:t>高位</w:t>
            </w:r>
          </w:p>
        </w:tc>
      </w:tr>
    </w:tbl>
    <w:p>
      <w:r>
        <w:br w:type="page"/>
      </w:r>
    </w:p>
    <w:p>
      <w:pPr>
        <w:pStyle w:val="Heading1"/>
      </w:pPr>
      <w:r>
        <w:t>二、 四维度深度分析</w:t>
      </w:r>
    </w:p>
    <w:p>
      <w:pPr>
        <w:pStyle w:val="Heading2"/>
      </w:pPr>
      <w:r>
        <w:t>2.1 盈利能力分析</w:t>
      </w:r>
    </w:p>
    <w:p>
      <w:r>
        <w:rPr>
          <w:b/>
        </w:rPr>
        <w:t>得分：30/100</w:t>
      </w:r>
    </w:p>
    <w:p>
      <w:r>
        <w:t>ROE 3.5% (差)</w:t>
      </w:r>
    </w:p>
    <w:p>
      <w:r>
        <w:t>分析要点：</w:t>
      </w:r>
    </w:p>
    <w:p>
      <w:pPr>
        <w:pStyle w:val="ListBullet"/>
      </w:pPr>
      <w:r>
        <w:t>• 公司当前ROE仅为3.5%，远低于优秀企业的15%以上标准</w:t>
      </w:r>
    </w:p>
    <w:p>
      <w:pPr>
        <w:pStyle w:val="ListBullet"/>
      </w:pPr>
      <w:r>
        <w:t>• 高PE（137.3）与低ROE形成反差，估值偏贵</w:t>
      </w:r>
    </w:p>
    <w:p>
      <w:pPr>
        <w:pStyle w:val="ListBullet"/>
      </w:pPr>
      <w:r>
        <w:t>• 需要关注公司未来盈利改善计划</w:t>
      </w:r>
    </w:p>
    <w:p>
      <w:pPr>
        <w:pStyle w:val="Heading2"/>
      </w:pPr>
      <w:r>
        <w:t>2.2 成长性分析</w:t>
      </w:r>
    </w:p>
    <w:p>
      <w:r>
        <w:rPr>
          <w:b/>
        </w:rPr>
        <w:t>得分：50/100</w:t>
      </w:r>
    </w:p>
    <w:p>
      <w:r>
        <w:t>走势平稳 (52周71%)</w:t>
      </w:r>
    </w:p>
    <w:p>
      <w:r>
        <w:t>分析要点：</w:t>
      </w:r>
    </w:p>
    <w:p>
      <w:pPr>
        <w:pStyle w:val="ListBullet"/>
      </w:pPr>
      <w:r>
        <w:t>• 股价处于年内较高位置，短期可能面临回调压力</w:t>
      </w:r>
    </w:p>
    <w:p>
      <w:pPr>
        <w:pStyle w:val="ListBullet"/>
      </w:pPr>
      <w:r>
        <w:t>• PE高达137.3，估值水平极高，需业绩快速增长支撑</w:t>
      </w:r>
    </w:p>
    <w:p>
      <w:pPr>
        <w:pStyle w:val="ListBullet"/>
      </w:pPr>
      <w:r>
        <w:t>• 锂矿行业周期性明显，需关注锂价走势</w:t>
      </w:r>
    </w:p>
    <w:p>
      <w:pPr>
        <w:pStyle w:val="Heading2"/>
      </w:pPr>
      <w:r>
        <w:t>2.3 财务健康分析</w:t>
      </w:r>
    </w:p>
    <w:p>
      <w:r>
        <w:rPr>
          <w:b/>
        </w:rPr>
        <w:t>得分：55/100</w:t>
      </w:r>
    </w:p>
    <w:p>
      <w:r>
        <w:t>资产溢价高 | 流动性良好</w:t>
      </w:r>
    </w:p>
    <w:p>
      <w:pPr>
        <w:pStyle w:val="Heading2"/>
      </w:pPr>
      <w:r>
        <w:t>2.4 估值分位分析</w:t>
      </w:r>
    </w:p>
    <w:p>
      <w:r>
        <w:t>价格分位71% | PE极高 | PB偏高</w:t>
      </w:r>
    </w:p>
    <w:p>
      <w:r>
        <w:rPr>
          <w:b/>
        </w:rPr>
        <w:t>风险提示：</w:t>
      </w:r>
      <w:r>
        <w:t>当前估值水平较高，需要强劲的业绩增长来支撑股价。如业绩不及预期，可能面临估值下修风险。</w:t>
      </w:r>
    </w:p>
    <w:p>
      <w:r>
        <w:br w:type="page"/>
      </w:r>
    </w:p>
    <w:p>
      <w:pPr>
        <w:pStyle w:val="Heading1"/>
      </w:pPr>
      <w:r>
        <w:t>三、 技术形态分析</w:t>
      </w:r>
    </w:p>
    <w:p>
      <w:pPr>
        <w:pStyle w:val="Heading2"/>
      </w:pPr>
      <w:r>
        <w:t>3.1 识别到的形态：双底形态(W底)</w:t>
      </w:r>
    </w:p>
    <w:p>
      <w:r>
        <w:t>置信度：85%</w:t>
      </w:r>
    </w:p>
    <w:p>
      <w:r>
        <w:t>形态描述：双底误差0.1%，颈线¥91.67</w:t>
      </w:r>
    </w:p>
    <w:p>
      <w:r>
        <w:t>操作建议：📉 可能继续探底</w:t>
      </w:r>
    </w:p>
    <w:p>
      <w:r>
        <w:br w:type="page"/>
      </w:r>
    </w:p>
    <w:p>
      <w:pPr>
        <w:pStyle w:val="Heading1"/>
      </w:pPr>
      <w:r>
        <w:t>四、 投资建议</w:t>
      </w:r>
    </w:p>
    <w:p>
      <w:pPr>
        <w:pStyle w:val="Heading2"/>
      </w:pPr>
      <w:r>
        <w:t>4.1 综合评级</w:t>
      </w:r>
    </w:p>
    <w:p>
      <w:r>
        <w:rPr>
          <w:sz w:val="32"/>
        </w:rPr>
        <w:t>卖出 ⭐⭐</w:t>
      </w:r>
      <w:r>
        <w:br/>
        <w:t>总分：45/100</w:t>
      </w:r>
    </w:p>
    <w:p>
      <w:pPr>
        <w:pStyle w:val="Heading2"/>
      </w:pPr>
      <w:r>
        <w:t>4.2 核心观点</w:t>
      </w:r>
    </w:p>
    <w:p>
      <w:r>
        <w:t>1. 估值偏高：当前PE 137.3倍，PB偏高，估值处于较高水平</w:t>
      </w:r>
    </w:p>
    <w:p>
      <w:r>
        <w:t>2. 盈利较弱：ROE仅3.5%，盈利能力有待提升</w:t>
      </w:r>
    </w:p>
    <w:p>
      <w:r>
        <w:t>3. 位置较高：股价处于52周71%分位，短期或有回调压力</w:t>
      </w:r>
    </w:p>
    <w:p>
      <w:r>
        <w:t>4. 行业周期：锂矿行业受碳酸锂价格影响大，需关注锂价走势</w:t>
      </w:r>
    </w:p>
    <w:p>
      <w:pPr>
        <w:pStyle w:val="Heading2"/>
      </w:pPr>
      <w:r>
        <w:t>4.3 操作建议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投资者类型</w:t>
            </w:r>
          </w:p>
        </w:tc>
        <w:tc>
          <w:tcPr>
            <w:tcW w:type="dxa" w:w="4320"/>
          </w:tcPr>
          <w:p>
            <w:r>
              <w:t>建议</w:t>
            </w:r>
          </w:p>
        </w:tc>
      </w:tr>
      <w:tr>
        <w:tc>
          <w:tcPr>
            <w:tcW w:type="dxa" w:w="4320"/>
          </w:tcPr>
          <w:p>
            <w:r>
              <w:t>短线交易者</w:t>
            </w:r>
          </w:p>
        </w:tc>
        <w:tc>
          <w:tcPr>
            <w:tcW w:type="dxa" w:w="4320"/>
          </w:tcPr>
          <w:p>
            <w:r>
              <w:t>观望为主，等待技术形态明确</w:t>
            </w:r>
          </w:p>
        </w:tc>
      </w:tr>
      <w:tr>
        <w:tc>
          <w:tcPr>
            <w:tcW w:type="dxa" w:w="4320"/>
          </w:tcPr>
          <w:p>
            <w:r>
              <w:t>中长线投资者</w:t>
            </w:r>
          </w:p>
        </w:tc>
        <w:tc>
          <w:tcPr>
            <w:tcW w:type="dxa" w:w="4320"/>
          </w:tcPr>
          <w:p>
            <w:r>
              <w:t>等待估值回归合理区间再考虑建仓</w:t>
            </w:r>
          </w:p>
        </w:tc>
      </w:tr>
      <w:tr>
        <w:tc>
          <w:tcPr>
            <w:tcW w:type="dxa" w:w="4320"/>
          </w:tcPr>
          <w:p>
            <w:r>
              <w:t>价值投资者</w:t>
            </w:r>
          </w:p>
        </w:tc>
        <w:tc>
          <w:tcPr>
            <w:tcW w:type="dxa" w:w="4320"/>
          </w:tcPr>
          <w:p>
            <w:r>
              <w:t>当前估值不具备安全边际，建议观望</w:t>
            </w:r>
          </w:p>
        </w:tc>
      </w:tr>
    </w:tbl>
    <w:p>
      <w:pPr>
        <w:pStyle w:val="Heading1"/>
      </w:pPr>
      <w:r>
        <w:t>五、 风险提示</w:t>
      </w:r>
    </w:p>
    <w:p>
      <w:r>
        <w:t>1. 估值风险：当前PE高达137倍，存在估值下修风险</w:t>
      </w:r>
    </w:p>
    <w:p>
      <w:r>
        <w:t>2. 行业周期风险：锂矿行业周期性明显，价格波动大</w:t>
      </w:r>
    </w:p>
    <w:p>
      <w:r>
        <w:t>3. 业绩风险：ROE较低，盈利能力有待验证</w:t>
      </w:r>
    </w:p>
    <w:p>
      <w:r>
        <w:t>4. 市场风险：股价处于年内高位，短期回调风险</w:t>
      </w:r>
    </w:p>
    <w:p>
      <w:r>
        <w:br w:type="page"/>
      </w:r>
    </w:p>
    <w:p>
      <w:pPr>
        <w:pStyle w:val="Heading1"/>
      </w:pPr>
      <w:r>
        <w:t>免责声明</w:t>
      </w:r>
    </w:p>
    <w:p>
      <w:r>
        <w:t>本报告仅供参考，不构成投资建议。投资有风险，入市需谨慎。</w:t>
      </w:r>
    </w:p>
    <w:p/>
    <w:p>
      <w:r>
        <w:t>报告生成：雪子智能投研系统</w:t>
      </w:r>
    </w:p>
    <w:p>
      <w:r>
        <w:t>技术支持：OpenClaw + Stock Analysis Pro v2.0.0</w:t>
      </w:r>
    </w:p>
    <w:p>
      <w:r>
        <w:t>生成时间：2026-03-07 10:29:25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