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新能源电力解决方案分析报告</w:t>
      </w:r>
    </w:p>
    <w:p>
      <w:pPr>
        <w:jc w:val="center"/>
      </w:pPr>
      <w:r>
        <w:rPr>
          <w:rFonts w:ascii="微软雅黑" w:hAnsi="微软雅黑" w:eastAsia="微软雅黑"/>
          <w:color w:val="2F5496"/>
          <w:sz w:val="28"/>
        </w:rPr>
        <w:t>（设计院版交付模板）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项目名称：______________________________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建设单位：______________________________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编制单位：______________________________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编制日期：______________________________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适用场景：工商业储能 / 光储充 / 源网荷储 / 零碳工厂 / 微电网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Simple w:instr="TOC \o &quot;1-3&quot; \h \z \u"/>
      </w:r>
    </w:p>
    <w:p>
      <w:r>
        <w:br w:type="page"/>
      </w:r>
    </w:p>
    <w:p>
      <w:pPr>
        <w:pStyle w:val="Heading1"/>
      </w:pPr>
      <w:r>
        <w:t>1 项目概况与编制说明</w:t>
      </w:r>
    </w:p>
    <w:p>
      <w:r>
        <w:t>1.1 项目背景：填写项目背景、边界、目标及建设必要性。</w:t>
      </w:r>
    </w:p>
    <w:p>
      <w:r>
        <w:t>1.2 基础输入：项目名称、场景类型、省份/区域、分析模式、政策模式、电网区域、数据来源说明。</w:t>
      </w:r>
    </w:p>
    <w:p>
      <w:r>
        <w:t>1.3 编制依据：政策文件、负荷数据、气象资源、设备参数、价格规则与假设。</w:t>
      </w:r>
    </w:p>
    <w:p>
      <w:pPr>
        <w:pStyle w:val="Heading3"/>
      </w:pPr>
      <w:r>
        <w:t>表1-1 项目基础信息表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75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项目名称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${project_name}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场景类型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${scenario_type}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场景能力分类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${scenario_detail_label}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运行玩法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${operation_mode}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分析模式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${analysis_mode}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省份/区域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${province}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数据完整度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${data_completeness_grade}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数据质量等级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${data_quality_level} / ${data_quality_score}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省级规则状态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${province_profile_status}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政策模式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${market_policy_mode}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电网区域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${profile_grid_region}</w:t>
            </w:r>
          </w:p>
        </w:tc>
      </w:tr>
    </w:tbl>
    <w:p/>
    <w:p>
      <w:pPr>
        <w:pStyle w:val="Heading1"/>
      </w:pPr>
      <w:r>
        <w:t>2 资源条件与负荷特性分析</w:t>
      </w:r>
    </w:p>
    <w:p>
      <w:pPr>
        <w:pStyle w:val="Heading3"/>
      </w:pPr>
      <w:r>
        <w:t>表2-1 资源条件汇总表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475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数值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光伏资源口径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${pv_resource_basis} / ${pv_resource_accuracy}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光伏 P50/P90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${pv_p50_generation_mwh} / ${pv_p90_generation_mwh}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光伏有效PR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${pv_pr_effective}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光伏LCOE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${pv_lcoe_per_kwh}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风电资源口径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${wind_resource_basis} / ${wind_resource_accuracy}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风电 P50/P90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${wind_p50_generation_mwh} / ${wind_p90_generation_mwh}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风电功率曲线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${wind_power_curve_used}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风电LCOE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${wind_lcoe_per_kwh}</w:t>
            </w:r>
          </w:p>
        </w:tc>
      </w:tr>
    </w:tbl>
    <w:p/>
    <w:p>
      <w:pPr>
        <w:pStyle w:val="Heading3"/>
      </w:pPr>
      <w:r>
        <w:t>图2-1 年度负荷曲线及典型日负荷曲线</w:t>
      </w:r>
    </w:p>
    <w:p>
      <w:pPr>
        <w:jc w:val="center"/>
      </w:pPr>
      <w:r>
        <w:rPr>
          <w:rFonts w:ascii="微软雅黑" w:hAnsi="微软雅黑" w:eastAsia="微软雅黑"/>
          <w:b/>
          <w:color w:val="2F5496"/>
          <w:sz w:val="24"/>
        </w:rPr>
        <w:t>【图表预留位】图2-1 年度负荷曲线及典型日负荷曲线</w:t>
      </w:r>
    </w:p>
    <w:p>
      <w:pPr>
        <w:jc w:val="center"/>
      </w:pPr>
      <w:r>
        <w:rPr>
          <w:rFonts w:ascii="微软雅黑" w:hAnsi="微软雅黑" w:eastAsia="微软雅黑"/>
          <w:color w:val="595959"/>
        </w:rPr>
        <w:t>建议尺寸：宽 15~16 cm，高 7~9 cm</w:t>
        <w:br/>
        <w:t>（生成报告时由程序插入实际图表图片）</w:t>
      </w:r>
    </w:p>
    <w:p>
      <w:pPr/>
      <w:r>
        <w:t>说明：展示原始负荷、净负荷、典型工作日/周末曲线。</w:t>
      </w:r>
    </w:p>
    <w:p/>
    <w:p>
      <w:pPr>
        <w:pStyle w:val="Heading3"/>
      </w:pPr>
      <w:r>
        <w:t>图2-2 光伏/风电资源出力特性图</w:t>
      </w:r>
    </w:p>
    <w:p>
      <w:pPr>
        <w:jc w:val="center"/>
      </w:pPr>
      <w:r>
        <w:rPr>
          <w:rFonts w:ascii="微软雅黑" w:hAnsi="微软雅黑" w:eastAsia="微软雅黑"/>
          <w:b/>
          <w:color w:val="2F5496"/>
          <w:sz w:val="24"/>
        </w:rPr>
        <w:t>【图表预留位】图2-2 光伏/风电资源出力特性图</w:t>
      </w:r>
    </w:p>
    <w:p>
      <w:pPr>
        <w:jc w:val="center"/>
      </w:pPr>
      <w:r>
        <w:rPr>
          <w:rFonts w:ascii="微软雅黑" w:hAnsi="微软雅黑" w:eastAsia="微软雅黑"/>
          <w:color w:val="595959"/>
        </w:rPr>
        <w:t>建议尺寸：宽 15~16 cm，高 7~9 cm</w:t>
        <w:br/>
        <w:t>（生成报告时由程序插入实际图表图片）</w:t>
      </w:r>
    </w:p>
    <w:p>
      <w:pPr/>
      <w:r>
        <w:t>说明：展示月度或典型日资源特性、P50/P90对比。</w:t>
      </w:r>
    </w:p>
    <w:p/>
    <w:p>
      <w:pPr>
        <w:pStyle w:val="Heading1"/>
      </w:pPr>
      <w:r>
        <w:t>3 方案配置与技术路线</w:t>
      </w:r>
    </w:p>
    <w:p>
      <w:pPr>
        <w:pStyle w:val="Heading3"/>
      </w:pPr>
      <w:r>
        <w:t>表3-1 推荐方案配置表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75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推荐值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光伏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${pv_mwp} MWp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风电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${wind_mw} MW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储能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${storage_power_mw} MW / ${storage_energy_mwh} MWh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储能实际值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${raw_storage_power_mw} MW / ${raw_storage_energy_mwh} MWh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充电容量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${charging_capacity_mw} MW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供冷容量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${cooling_capacity_rt} RT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供热容量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${heating_capacity_mwth} MWth</w:t>
            </w:r>
          </w:p>
        </w:tc>
      </w:tr>
    </w:tbl>
    <w:p/>
    <w:p>
      <w:pPr>
        <w:pStyle w:val="Heading3"/>
      </w:pPr>
      <w:r>
        <w:t>图3-1 系统构成与能量流向示意图</w:t>
      </w:r>
    </w:p>
    <w:p>
      <w:pPr>
        <w:jc w:val="center"/>
      </w:pPr>
      <w:r>
        <w:rPr>
          <w:rFonts w:ascii="微软雅黑" w:hAnsi="微软雅黑" w:eastAsia="微软雅黑"/>
          <w:b/>
          <w:color w:val="2F5496"/>
          <w:sz w:val="24"/>
        </w:rPr>
        <w:t>【图表预留位】图3-1 系统构成与能量流向示意图</w:t>
      </w:r>
    </w:p>
    <w:p>
      <w:pPr>
        <w:jc w:val="center"/>
      </w:pPr>
      <w:r>
        <w:rPr>
          <w:rFonts w:ascii="微软雅黑" w:hAnsi="微软雅黑" w:eastAsia="微软雅黑"/>
          <w:color w:val="595959"/>
        </w:rPr>
        <w:t>建议尺寸：宽 15~16 cm，高 7~9 cm</w:t>
        <w:br/>
        <w:t>（生成报告时由程序插入实际图表图片）</w:t>
      </w:r>
    </w:p>
    <w:p>
      <w:pPr/>
      <w:r>
        <w:t>说明：可由外部绘图或流程图输出后插入。</w:t>
      </w:r>
    </w:p>
    <w:p/>
    <w:p>
      <w:pPr>
        <w:pStyle w:val="Heading1"/>
      </w:pPr>
      <w:r>
        <w:t>4 运行策略与调度分析</w:t>
      </w:r>
    </w:p>
    <w:p>
      <w:pPr>
        <w:pStyle w:val="Heading3"/>
      </w:pPr>
      <w:r>
        <w:t>表4-1 调度结果汇总表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475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结果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基线峰值购电功率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${baseline_peak_grid_kw}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储能后峰值购电功率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${post_storage_peak_grid_kw}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估算削峰量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${estimated_peak_reduction_kw}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日储能循环次数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${daily_storage_cycles}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储能策略模式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${storage_strategy_mode}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储能容量测算口径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${storage_sizing_basis}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年储能吞吐量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${storage_annual_throughput_mwh}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年等效满循环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${storage_equivalent_full_cycles_per_year}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估算寿命年限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${storage_life_years_estimate}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有效往返效率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${storage_effective_round_trip_efficiency}</w:t>
            </w:r>
          </w:p>
        </w:tc>
      </w:tr>
    </w:tbl>
    <w:p/>
    <w:p>
      <w:pPr>
        <w:pStyle w:val="Heading3"/>
      </w:pPr>
      <w:r>
        <w:t>图4-1 典型日功率平衡图</w:t>
      </w:r>
    </w:p>
    <w:p>
      <w:pPr>
        <w:jc w:val="center"/>
      </w:pPr>
      <w:r>
        <w:rPr>
          <w:rFonts w:ascii="微软雅黑" w:hAnsi="微软雅黑" w:eastAsia="微软雅黑"/>
          <w:b/>
          <w:color w:val="2F5496"/>
          <w:sz w:val="24"/>
        </w:rPr>
        <w:t>【图表预留位】图4-1 典型日功率平衡图</w:t>
      </w:r>
    </w:p>
    <w:p>
      <w:pPr>
        <w:jc w:val="center"/>
      </w:pPr>
      <w:r>
        <w:rPr>
          <w:rFonts w:ascii="微软雅黑" w:hAnsi="微软雅黑" w:eastAsia="微软雅黑"/>
          <w:color w:val="595959"/>
        </w:rPr>
        <w:t>建议尺寸：宽 15~16 cm，高 7~9 cm</w:t>
        <w:br/>
        <w:t>（生成报告时由程序插入实际图表图片）</w:t>
      </w:r>
    </w:p>
    <w:p>
      <w:pPr/>
      <w:r>
        <w:t>说明：建议包含负荷、光伏、风电、储能充放电、电网购电。</w:t>
      </w:r>
    </w:p>
    <w:p/>
    <w:p>
      <w:pPr>
        <w:pStyle w:val="Heading3"/>
      </w:pPr>
      <w:r>
        <w:t>图4-2 储能SOC变化图</w:t>
      </w:r>
    </w:p>
    <w:p>
      <w:pPr>
        <w:jc w:val="center"/>
      </w:pPr>
      <w:r>
        <w:rPr>
          <w:rFonts w:ascii="微软雅黑" w:hAnsi="微软雅黑" w:eastAsia="微软雅黑"/>
          <w:b/>
          <w:color w:val="2F5496"/>
          <w:sz w:val="24"/>
        </w:rPr>
        <w:t>【图表预留位】图4-2 储能SOC变化图</w:t>
      </w:r>
    </w:p>
    <w:p>
      <w:pPr>
        <w:jc w:val="center"/>
      </w:pPr>
      <w:r>
        <w:rPr>
          <w:rFonts w:ascii="微软雅黑" w:hAnsi="微软雅黑" w:eastAsia="微软雅黑"/>
          <w:color w:val="595959"/>
        </w:rPr>
        <w:t>建议尺寸：宽 15~16 cm，高 7~9 cm</w:t>
        <w:br/>
        <w:t>（生成报告时由程序插入实际图表图片）</w:t>
      </w:r>
    </w:p>
    <w:p>
      <w:pPr/>
      <w:r>
        <w:t>说明：建议按典型日或代表周展示SOC、充放电窗口与循环次数。</w:t>
      </w:r>
    </w:p>
    <w:p/>
    <w:p>
      <w:pPr>
        <w:pStyle w:val="Heading3"/>
      </w:pPr>
      <w:r>
        <w:t>图4-3 月度收益/吞吐量图</w:t>
      </w:r>
    </w:p>
    <w:p>
      <w:pPr>
        <w:jc w:val="center"/>
      </w:pPr>
      <w:r>
        <w:rPr>
          <w:rFonts w:ascii="微软雅黑" w:hAnsi="微软雅黑" w:eastAsia="微软雅黑"/>
          <w:b/>
          <w:color w:val="2F5496"/>
          <w:sz w:val="24"/>
        </w:rPr>
        <w:t>【图表预留位】图4-3 月度收益/吞吐量图</w:t>
      </w:r>
    </w:p>
    <w:p>
      <w:pPr>
        <w:jc w:val="center"/>
      </w:pPr>
      <w:r>
        <w:rPr>
          <w:rFonts w:ascii="微软雅黑" w:hAnsi="微软雅黑" w:eastAsia="微软雅黑"/>
          <w:color w:val="595959"/>
        </w:rPr>
        <w:t>建议尺寸：宽 15~16 cm，高 7~9 cm</w:t>
        <w:br/>
        <w:t>（生成报告时由程序插入实际图表图片）</w:t>
      </w:r>
    </w:p>
    <w:p>
      <w:pPr/>
      <w:r>
        <w:t>说明：展示12个月储能收益、充放电量、毛收益。</w:t>
      </w:r>
    </w:p>
    <w:p/>
    <w:p>
      <w:pPr>
        <w:pStyle w:val="Heading1"/>
      </w:pPr>
      <w:r>
        <w:t>5 电力市场与结算分析</w:t>
      </w:r>
    </w:p>
    <w:p>
      <w:pPr>
        <w:pStyle w:val="Heading3"/>
      </w:pPr>
      <w:r>
        <w:t>表5-1 市场关键参数表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475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取值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省级规则状态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${province_profile_status}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市场政策模式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${market_policy_mode}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交易价差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${trading_price_spread_per_kwh}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价格波动指数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${trading_volatility_index}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最优月份/最弱月份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${trading_best_month} / ${trading_worst_month}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在线规则生效字段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${live_rule_effective_fields}</w:t>
            </w:r>
          </w:p>
        </w:tc>
      </w:tr>
    </w:tbl>
    <w:p/>
    <w:p>
      <w:pPr>
        <w:pStyle w:val="Heading3"/>
      </w:pPr>
      <w:r>
        <w:t>图5-1 分时电价/现货价格曲线图</w:t>
      </w:r>
    </w:p>
    <w:p>
      <w:pPr>
        <w:jc w:val="center"/>
      </w:pPr>
      <w:r>
        <w:rPr>
          <w:rFonts w:ascii="微软雅黑" w:hAnsi="微软雅黑" w:eastAsia="微软雅黑"/>
          <w:b/>
          <w:color w:val="2F5496"/>
          <w:sz w:val="24"/>
        </w:rPr>
        <w:t>【图表预留位】图5-1 分时电价/现货价格曲线图</w:t>
      </w:r>
    </w:p>
    <w:p>
      <w:pPr>
        <w:jc w:val="center"/>
      </w:pPr>
      <w:r>
        <w:rPr>
          <w:rFonts w:ascii="微软雅黑" w:hAnsi="微软雅黑" w:eastAsia="微软雅黑"/>
          <w:color w:val="595959"/>
        </w:rPr>
        <w:t>建议尺寸：宽 15~16 cm，高 7~9 cm</w:t>
        <w:br/>
        <w:t>（生成报告时由程序插入实际图表图片）</w:t>
      </w:r>
    </w:p>
    <w:p>
      <w:pPr/>
      <w:r>
        <w:t>说明：展示峰平谷或实时电价曲线。</w:t>
      </w:r>
    </w:p>
    <w:p/>
    <w:p>
      <w:pPr>
        <w:pStyle w:val="Heading3"/>
      </w:pPr>
      <w:r>
        <w:t>图5-2 套利窗口识别图</w:t>
      </w:r>
    </w:p>
    <w:p>
      <w:pPr>
        <w:jc w:val="center"/>
      </w:pPr>
      <w:r>
        <w:rPr>
          <w:rFonts w:ascii="微软雅黑" w:hAnsi="微软雅黑" w:eastAsia="微软雅黑"/>
          <w:b/>
          <w:color w:val="2F5496"/>
          <w:sz w:val="24"/>
        </w:rPr>
        <w:t>【图表预留位】图5-2 套利窗口识别图</w:t>
      </w:r>
    </w:p>
    <w:p>
      <w:pPr>
        <w:jc w:val="center"/>
      </w:pPr>
      <w:r>
        <w:rPr>
          <w:rFonts w:ascii="微软雅黑" w:hAnsi="微软雅黑" w:eastAsia="微软雅黑"/>
          <w:color w:val="595959"/>
        </w:rPr>
        <w:t>建议尺寸：宽 15~16 cm，高 7~9 cm</w:t>
        <w:br/>
        <w:t>（生成报告时由程序插入实际图表图片）</w:t>
      </w:r>
    </w:p>
    <w:p>
      <w:pPr/>
      <w:r>
        <w:t>说明：展示充电窗口、放电窗口、价差阈值与执行结果。</w:t>
      </w:r>
    </w:p>
    <w:p/>
    <w:p>
      <w:pPr>
        <w:pStyle w:val="Heading1"/>
      </w:pPr>
      <w:r>
        <w:t>6 财务测算与经济性评价</w:t>
      </w:r>
    </w:p>
    <w:p>
      <w:pPr>
        <w:pStyle w:val="Heading3"/>
      </w:pPr>
      <w:r>
        <w:t>表6-1 财务测算汇总表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475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结果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年收益/节费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${annual_savings_or_revenue}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年税费合计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${annual_tax_total}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年企业所得税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${annual_income_tax}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年增值税（应纳）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${annual_vat_payable}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年附加税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${annual_vat_surcharges_only}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年电量电费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${annual_energy_charge_cost}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年需量电费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${annual_demand_charge_cost}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年辅助服务收益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${annual_ancillary_service_revenue}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年需求响应收益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${annual_demand_response_revenue}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年外送收益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${annual_export_revenue}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项目IRR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${irr}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回收期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${payback_years}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NPV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${npv}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单位减碳成本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${abatement_cost_per_tco2e}</w:t>
            </w:r>
          </w:p>
        </w:tc>
      </w:tr>
    </w:tbl>
    <w:p/>
    <w:p>
      <w:pPr>
        <w:pStyle w:val="Heading3"/>
      </w:pPr>
      <w:r>
        <w:t>图6-1 项目全生命周期现金流图</w:t>
      </w:r>
    </w:p>
    <w:p>
      <w:pPr>
        <w:jc w:val="center"/>
      </w:pPr>
      <w:r>
        <w:rPr>
          <w:rFonts w:ascii="微软雅黑" w:hAnsi="微软雅黑" w:eastAsia="微软雅黑"/>
          <w:b/>
          <w:color w:val="2F5496"/>
          <w:sz w:val="24"/>
        </w:rPr>
        <w:t>【图表预留位】图6-1 项目全生命周期现金流图</w:t>
      </w:r>
    </w:p>
    <w:p>
      <w:pPr>
        <w:jc w:val="center"/>
      </w:pPr>
      <w:r>
        <w:rPr>
          <w:rFonts w:ascii="微软雅黑" w:hAnsi="微软雅黑" w:eastAsia="微软雅黑"/>
          <w:color w:val="595959"/>
        </w:rPr>
        <w:t>建议尺寸：宽 15~16 cm，高 7~9 cm</w:t>
        <w:br/>
        <w:t>（生成报告时由程序插入实际图表图片）</w:t>
      </w:r>
    </w:p>
    <w:p>
      <w:pPr/>
      <w:r>
        <w:t>说明：展示年度现金流、累计现金流、回收期位置。</w:t>
      </w:r>
    </w:p>
    <w:p/>
    <w:p>
      <w:pPr>
        <w:pStyle w:val="Heading3"/>
      </w:pPr>
      <w:r>
        <w:t>图6-2 收益构成瀑布图/堆叠图</w:t>
      </w:r>
    </w:p>
    <w:p>
      <w:pPr>
        <w:jc w:val="center"/>
      </w:pPr>
      <w:r>
        <w:rPr>
          <w:rFonts w:ascii="微软雅黑" w:hAnsi="微软雅黑" w:eastAsia="微软雅黑"/>
          <w:b/>
          <w:color w:val="2F5496"/>
          <w:sz w:val="24"/>
        </w:rPr>
        <w:t>【图表预留位】图6-2 收益构成瀑布图/堆叠图</w:t>
      </w:r>
    </w:p>
    <w:p>
      <w:pPr>
        <w:jc w:val="center"/>
      </w:pPr>
      <w:r>
        <w:rPr>
          <w:rFonts w:ascii="微软雅黑" w:hAnsi="微软雅黑" w:eastAsia="微软雅黑"/>
          <w:color w:val="595959"/>
        </w:rPr>
        <w:t>建议尺寸：宽 15~16 cm，高 7~9 cm</w:t>
        <w:br/>
        <w:t>（生成报告时由程序插入实际图表图片）</w:t>
      </w:r>
    </w:p>
    <w:p>
      <w:pPr/>
      <w:r>
        <w:t>说明：展示削峰、套利、辅助服务、需求响应等收益构成。</w:t>
      </w:r>
    </w:p>
    <w:p/>
    <w:p>
      <w:pPr>
        <w:pStyle w:val="Heading3"/>
      </w:pPr>
      <w:r>
        <w:t>图6-3 敏感性分析龙卷风图</w:t>
      </w:r>
    </w:p>
    <w:p>
      <w:pPr>
        <w:jc w:val="center"/>
      </w:pPr>
      <w:r>
        <w:rPr>
          <w:rFonts w:ascii="微软雅黑" w:hAnsi="微软雅黑" w:eastAsia="微软雅黑"/>
          <w:b/>
          <w:color w:val="2F5496"/>
          <w:sz w:val="24"/>
        </w:rPr>
        <w:t>【图表预留位】图6-3 敏感性分析龙卷风图</w:t>
      </w:r>
    </w:p>
    <w:p>
      <w:pPr>
        <w:jc w:val="center"/>
      </w:pPr>
      <w:r>
        <w:rPr>
          <w:rFonts w:ascii="微软雅黑" w:hAnsi="微软雅黑" w:eastAsia="微软雅黑"/>
          <w:color w:val="595959"/>
        </w:rPr>
        <w:t>建议尺寸：宽 15~16 cm，高 7~9 cm</w:t>
        <w:br/>
        <w:t>（生成报告时由程序插入实际图表图片）</w:t>
      </w:r>
    </w:p>
    <w:p>
      <w:pPr/>
      <w:r>
        <w:t>说明：展示关键因素对IRR/NPV的影响。</w:t>
      </w:r>
    </w:p>
    <w:p/>
    <w:p>
      <w:pPr>
        <w:pStyle w:val="Heading1"/>
      </w:pPr>
      <w:r>
        <w:t>7 碳减排效益分析</w:t>
      </w:r>
    </w:p>
    <w:p>
      <w:pPr>
        <w:pStyle w:val="Heading3"/>
      </w:pPr>
      <w:r>
        <w:t>表7-1 碳结果汇总表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475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结果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基线排放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${baseline_emissions_tco2e}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项目后排放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${post_project_emissions_tco2e}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年减排量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${annual_reduction_tco2e}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声明边界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</w:rPr>
              <w:t>${claim_boundary_summary}</w:t>
            </w:r>
          </w:p>
        </w:tc>
      </w:tr>
    </w:tbl>
    <w:p/>
    <w:p>
      <w:pPr>
        <w:pStyle w:val="Heading3"/>
      </w:pPr>
      <w:r>
        <w:t>图7-1 碳排放对比图</w:t>
      </w:r>
    </w:p>
    <w:p>
      <w:pPr>
        <w:jc w:val="center"/>
      </w:pPr>
      <w:r>
        <w:rPr>
          <w:rFonts w:ascii="微软雅黑" w:hAnsi="微软雅黑" w:eastAsia="微软雅黑"/>
          <w:b/>
          <w:color w:val="2F5496"/>
          <w:sz w:val="24"/>
        </w:rPr>
        <w:t>【图表预留位】图7-1 碳排放对比图</w:t>
      </w:r>
    </w:p>
    <w:p>
      <w:pPr>
        <w:jc w:val="center"/>
      </w:pPr>
      <w:r>
        <w:rPr>
          <w:rFonts w:ascii="微软雅黑" w:hAnsi="微软雅黑" w:eastAsia="微软雅黑"/>
          <w:color w:val="595959"/>
        </w:rPr>
        <w:t>建议尺寸：宽 15~16 cm，高 7~9 cm</w:t>
        <w:br/>
        <w:t>（生成报告时由程序插入实际图表图片）</w:t>
      </w:r>
    </w:p>
    <w:p>
      <w:pPr/>
      <w:r>
        <w:t>说明：展示基线与项目后排放对比。</w:t>
      </w:r>
    </w:p>
    <w:p/>
    <w:p>
      <w:pPr>
        <w:pStyle w:val="Heading3"/>
      </w:pPr>
      <w:r>
        <w:t>图7-2 减排路径拆分图</w:t>
      </w:r>
    </w:p>
    <w:p>
      <w:pPr>
        <w:jc w:val="center"/>
      </w:pPr>
      <w:r>
        <w:rPr>
          <w:rFonts w:ascii="微软雅黑" w:hAnsi="微软雅黑" w:eastAsia="微软雅黑"/>
          <w:b/>
          <w:color w:val="2F5496"/>
          <w:sz w:val="24"/>
        </w:rPr>
        <w:t>【图表预留位】图7-2 减排路径拆分图</w:t>
      </w:r>
    </w:p>
    <w:p>
      <w:pPr>
        <w:jc w:val="center"/>
      </w:pPr>
      <w:r>
        <w:rPr>
          <w:rFonts w:ascii="微软雅黑" w:hAnsi="微软雅黑" w:eastAsia="微软雅黑"/>
          <w:color w:val="595959"/>
        </w:rPr>
        <w:t>建议尺寸：宽 15~16 cm，高 7~9 cm</w:t>
        <w:br/>
        <w:t>（生成报告时由程序插入实际图表图片）</w:t>
      </w:r>
    </w:p>
    <w:p>
      <w:pPr/>
      <w:r>
        <w:t>说明：展示光伏、风电、储能、热泵等路径减排贡献。</w:t>
      </w:r>
    </w:p>
    <w:p/>
    <w:p>
      <w:pPr>
        <w:pStyle w:val="Heading1"/>
      </w:pPr>
      <w:r>
        <w:t>8 风险分析与实施建议</w:t>
      </w:r>
    </w:p>
    <w:p>
      <w:r>
        <w:t>8.1 风险清单：填写政策、电价、负荷、资源、设备、施工、并网等风险。</w:t>
      </w:r>
    </w:p>
    <w:p>
      <w:r>
        <w:t>8.2 数据缺口：填写需补充的实测数据、协议、图纸与规则文件。</w:t>
      </w:r>
    </w:p>
    <w:p>
      <w:r>
        <w:t>8.3 实施建议：分近期、中期、远期给出建议。</w:t>
      </w:r>
    </w:p>
    <w:p>
      <w:pPr>
        <w:pStyle w:val="Heading3"/>
      </w:pPr>
      <w:r>
        <w:t>表8-1 风险与应对措施表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风险项</w:t>
            </w:r>
          </w:p>
        </w:tc>
        <w:tc>
          <w:tcPr>
            <w:tcW w:type="dxa" w:w="317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影响</w:t>
            </w:r>
          </w:p>
        </w:tc>
        <w:tc>
          <w:tcPr>
            <w:tcW w:type="dxa" w:w="317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建议措施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</w:rPr>
              <w:t>${risk_1}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</w:rPr>
              <w:t>${risk_impact_1}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</w:rPr>
              <w:t>${risk_action_1}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</w:rPr>
              <w:t>${risk_2}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</w:rPr>
              <w:t>${risk_impact_2}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</w:rPr>
              <w:t>${risk_action_2}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</w:rPr>
              <w:t>${risk_3}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</w:rPr>
              <w:t>${risk_impact_3}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</w:rPr>
              <w:t>${risk_action_3}</w:t>
            </w:r>
          </w:p>
        </w:tc>
      </w:tr>
    </w:tbl>
    <w:p/>
    <w:p>
      <w:pPr>
        <w:pStyle w:val="Heading1"/>
      </w:pPr>
      <w:r>
        <w:t>9 结论与建议</w:t>
      </w:r>
    </w:p>
    <w:p>
      <w:r>
        <w:t>9.1 结论摘要：填写建议建设规模、收益水平、减排效益与可实施性。</w:t>
      </w:r>
    </w:p>
    <w:p>
      <w:r>
        <w:t>9.2 下一步工作建议：可研深化、现场踏勘、并网咨询、设备选型、财务尽调等。</w:t>
      </w:r>
    </w:p>
    <w:p>
      <w:pPr>
        <w:pStyle w:val="Heading1"/>
      </w:pPr>
      <w:r>
        <w:t>附录A 主要输入参数表</w:t>
      </w:r>
    </w:p>
    <w:p>
      <w:pPr>
        <w:pStyle w:val="Heading3"/>
      </w:pPr>
      <w:r>
        <w:t>附表A-1 输入参数总表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23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分类</w:t>
            </w:r>
          </w:p>
        </w:tc>
        <w:tc>
          <w:tcPr>
            <w:tcW w:type="dxa" w:w="23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23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值</w:t>
            </w:r>
          </w:p>
        </w:tc>
        <w:tc>
          <w:tcPr>
            <w:tcW w:type="dxa" w:w="23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备注</w:t>
            </w:r>
          </w:p>
        </w:tc>
      </w:tr>
      <w:tr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项目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project_name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${project_name}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</w:r>
          </w:p>
        </w:tc>
      </w:tr>
      <w:tr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市场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market_policy_mode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${market_policy_mode}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</w:r>
          </w:p>
        </w:tc>
      </w:tr>
      <w:tr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调度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storage_strategy_mode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${storage_strategy_mode}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</w:r>
          </w:p>
        </w:tc>
      </w:tr>
      <w:tr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资源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pv_resource_basis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${pv_resource_basis}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</w:r>
          </w:p>
        </w:tc>
      </w:tr>
      <w:tr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财务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irr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${irr}</w:t>
            </w:r>
          </w:p>
        </w:tc>
        <w:tc>
          <w:tcPr>
            <w:tcW w:type="dxa" w:w="2380"/>
          </w:tcPr>
          <w:p>
            <w:r>
              <w:rPr>
                <w:rFonts w:ascii="微软雅黑" w:hAnsi="微软雅黑" w:eastAsia="微软雅黑"/>
              </w:rPr>
              <w:t>输出结果示例</w:t>
            </w:r>
          </w:p>
        </w:tc>
      </w:tr>
    </w:tbl>
    <w:p/>
    <w:p>
      <w:pPr>
        <w:pStyle w:val="Heading1"/>
      </w:pPr>
      <w:r>
        <w:t>附录B 图表清单（程序自动插入）</w:t>
      </w:r>
    </w:p>
    <w:p>
      <w:pPr>
        <w:pStyle w:val="ListBullet"/>
      </w:pPr>
      <w:r>
        <w:t>图2-1 年度负荷曲线及典型日负荷曲线</w:t>
      </w:r>
    </w:p>
    <w:p>
      <w:pPr>
        <w:pStyle w:val="ListBullet"/>
      </w:pPr>
      <w:r>
        <w:t>图2-2 光伏/风电资源出力特性图</w:t>
      </w:r>
    </w:p>
    <w:p>
      <w:pPr>
        <w:pStyle w:val="ListBullet"/>
      </w:pPr>
      <w:r>
        <w:t>图3-1 系统构成与能量流向示意图</w:t>
      </w:r>
    </w:p>
    <w:p>
      <w:pPr>
        <w:pStyle w:val="ListBullet"/>
      </w:pPr>
      <w:r>
        <w:t>图4-1 典型日功率平衡图</w:t>
      </w:r>
    </w:p>
    <w:p>
      <w:pPr>
        <w:pStyle w:val="ListBullet"/>
      </w:pPr>
      <w:r>
        <w:t>图4-2 储能SOC变化图</w:t>
      </w:r>
    </w:p>
    <w:p>
      <w:pPr>
        <w:pStyle w:val="ListBullet"/>
      </w:pPr>
      <w:r>
        <w:t>图4-3 月度收益/吞吐量图</w:t>
      </w:r>
    </w:p>
    <w:p>
      <w:pPr>
        <w:pStyle w:val="ListBullet"/>
      </w:pPr>
      <w:r>
        <w:t>图5-1 分时电价/现货价格曲线图</w:t>
      </w:r>
    </w:p>
    <w:p>
      <w:pPr>
        <w:pStyle w:val="ListBullet"/>
      </w:pPr>
      <w:r>
        <w:t>图5-2 套利窗口识别图</w:t>
      </w:r>
    </w:p>
    <w:p>
      <w:pPr>
        <w:pStyle w:val="ListBullet"/>
      </w:pPr>
      <w:r>
        <w:t>图6-1 项目全生命周期现金流图</w:t>
      </w:r>
    </w:p>
    <w:p>
      <w:pPr>
        <w:pStyle w:val="ListBullet"/>
      </w:pPr>
      <w:r>
        <w:t>图6-2 收益构成瀑布图/堆叠图</w:t>
      </w:r>
    </w:p>
    <w:p>
      <w:pPr>
        <w:pStyle w:val="ListBullet"/>
      </w:pPr>
      <w:r>
        <w:t>图6-3 敏感性分析龙卷风图</w:t>
      </w:r>
    </w:p>
    <w:p>
      <w:pPr>
        <w:pStyle w:val="ListBullet"/>
      </w:pPr>
      <w:r>
        <w:t>图7-1 碳排放对比图</w:t>
      </w:r>
    </w:p>
    <w:p>
      <w:pPr>
        <w:pStyle w:val="ListBullet"/>
      </w:pPr>
      <w:r>
        <w:t>图7-2 减排路径拆分图</w:t>
      </w:r>
    </w:p>
    <w:sectPr w:rsidR="00FC693F" w:rsidRPr="0006063C" w:rsidSect="00034616">
      <w:footerReference w:type="default" r:id="rId9"/>
      <w:pgSz w:w="12240" w:h="15840"/>
      <w:pgMar w:top="1417" w:right="1247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