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864"/>
          <w:sz w:val="44"/>
        </w:rPr>
        <w:t>新能源电力解决方案分析报告</w:t>
      </w:r>
    </w:p>
    <w:p>
      <w:pPr>
        <w:jc w:val="center"/>
      </w:pPr>
      <w:r>
        <w:rPr>
          <w:sz w:val="28"/>
        </w:rPr>
        <w:br/>
        <w:t>山东盛泰药业用户侧储能项目</w:t>
        <w:br/>
        <w:br/>
      </w:r>
      <w:r>
        <w:rPr>
          <w:sz w:val="20"/>
        </w:rPr>
        <w:t>场景类型：user_side_storage    省份：</w:t>
      </w:r>
    </w:p>
    <w:p>
      <w:pPr>
        <w:pStyle w:val="Heading1"/>
      </w:pPr>
      <w:r>
        <w:t>专家分析结论</w:t>
      </w:r>
    </w:p>
    <w:p>
      <w:pPr>
        <w:pStyle w:val="Heading2"/>
      </w:pPr>
      <w:r>
        <w:t>总体评价</w:t>
      </w:r>
    </w:p>
    <w:p>
      <w:r>
        <w:t>山东盛泰药业用户侧储能项目（user_side_storage）整体投资价值评为「一般，需审慎评估」。</w:t>
      </w:r>
    </w:p>
    <w:p>
      <w:r>
        <w:t>项目配置光伏2.0MWp、储能4.0MW/20.0MWh（年循环404次）。</w:t>
      </w:r>
    </w:p>
    <w:p>
      <w:r>
        <w:t>光伏资源来源：default_full_load_hours；风资源来源：no_wind_resource。</w:t>
      </w:r>
    </w:p>
    <w:p>
      <w:pPr>
        <w:pStyle w:val="Heading2"/>
      </w:pPr>
      <w:r>
        <w:t>财务分析</w:t>
      </w:r>
    </w:p>
    <w:p>
      <w:r>
        <w:t>项目全投资内部收益率 (IRR) 为 10.10%，净现值 (NPV) 为278万元。</w:t>
      </w:r>
    </w:p>
    <w:p>
      <w:r>
        <w:t>项目在财务上可行。</w:t>
      </w:r>
    </w:p>
    <w:p>
      <w:r>
        <w:t>考虑70%负债融资后，权益IRR达到17.81%（杠杆倍数1.8倍）。</w:t>
      </w:r>
    </w:p>
    <w:p>
      <w:r>
        <w:t>静态回收期8年（动态回收期12年）。</w:t>
      </w:r>
    </w:p>
    <w:p>
      <w:r>
        <w:t>偿债覆盖率 DSCR 为1.49，满足银行可贷标准（&gt;1.2）。</w:t>
      </w:r>
    </w:p>
    <w:p>
      <w:r>
        <w:t>平准化成本：系统LCOE=1.1457元/kWh；储能LCOS=0.2141元/kWh。</w:t>
      </w:r>
    </w:p>
    <w:p>
      <w:r>
        <w:t>分项成本：光伏=0.3134；储能=0.2141</w:t>
      </w:r>
    </w:p>
    <w:p>
      <w:pPr>
        <w:pStyle w:val="Heading2"/>
      </w:pPr>
      <w:r>
        <w:t>收益与能源成本</w:t>
      </w:r>
    </w:p>
    <w:p>
      <w:r>
        <w:t>项目投产后年能源成本由基线1,080万元降至1,018万元，年节省0万元。</w:t>
      </w:r>
    </w:p>
    <w:p>
      <w:r>
        <w:t>绿电覆盖率5.7%。</w:t>
      </w:r>
    </w:p>
    <w:p>
      <w:r>
        <w:t>新能源自行消纳率100.0%。</w:t>
      </w:r>
    </w:p>
    <w:p>
      <w:pPr>
        <w:pStyle w:val="Heading2"/>
      </w:pPr>
      <w:r>
        <w:t>排放分析</w:t>
      </w:r>
    </w:p>
    <w:p>
      <w:r>
        <w:t>基线碳排放7,779 tCO₂e/年，项目后排放2,357 tCO₂e/年，年减排5,422 tCO₂e。</w:t>
      </w:r>
    </w:p>
    <w:p>
      <w:pPr>
        <w:pStyle w:val="ListBullet"/>
      </w:pPr>
      <w:r>
        <w:t>- 减排路径「工艺/热源替代与能效提升」：减排0 tCO₂e，占比0.0%。</w:t>
      </w:r>
    </w:p>
    <w:p>
      <w:pPr>
        <w:pStyle w:val="ListBullet"/>
      </w:pPr>
      <w:r>
        <w:t>- 减排路径「绿电/光伏/储能替代购电排放」：减排5,422 tCO₂e，占比100.0%。</w:t>
      </w:r>
    </w:p>
    <w:p>
      <w:pPr>
        <w:pStyle w:val="Heading2"/>
      </w:pPr>
      <w:r>
        <w:t>敏感性分析</w:t>
      </w:r>
    </w:p>
    <w:p>
      <w:pPr>
        <w:pStyle w:val="ListBullet"/>
      </w:pPr>
      <w:r>
        <w:t>- 设备投资上升10%：年收益影响0万元。</w:t>
      </w:r>
    </w:p>
    <w:p>
      <w:pPr>
        <w:pStyle w:val="ListBullet"/>
      </w:pPr>
      <w:r>
        <w:t>- 发电量下降10%：年收益影响-11万元IRR-0.54pct。</w:t>
      </w:r>
    </w:p>
    <w:p>
      <w:pPr>
        <w:pStyle w:val="ListBullet"/>
      </w:pPr>
      <w:r>
        <w:t>- 绿电覆盖率下降5%：年收益影响-5万元IRR-0.27pct。</w:t>
      </w:r>
    </w:p>
    <w:p>
      <w:pPr>
        <w:pStyle w:val="ListBullet"/>
      </w:pPr>
      <w:r>
        <w:t>- 蒙特卡洛模拟（500次）：P10=8.7%、P50=10.1%、P90=11.5%10.1% 中位数，90%概率 ≥8.7%。</w:t>
      </w:r>
    </w:p>
    <w:p>
      <w:pPr>
        <w:pStyle w:val="Heading2"/>
      </w:pPr>
      <w:r>
        <w:t>注意事项</w:t>
      </w:r>
    </w:p>
    <w:p>
      <w:pPr>
        <w:pStyle w:val="ListBullet"/>
      </w:pPr>
      <w:r>
        <w:t>- 数据缺口：project_info.province</w:t>
      </w:r>
    </w:p>
    <w:p>
      <w:pPr>
        <w:pStyle w:val="ListBullet"/>
      </w:pPr>
      <w:r>
        <w:t>- 数据缺口：network_and_design.point_of_connection</w:t>
      </w:r>
    </w:p>
    <w:p>
      <w:pPr>
        <w:pStyle w:val="ListBullet"/>
      </w:pPr>
      <w:r>
        <w:t>- 数据缺口：resource_data.solar.hourly_generation_profile_kw / monthly_irradiation_kwh_per_m2</w:t>
      </w:r>
    </w:p>
    <w:p>
      <w:pPr>
        <w:pStyle w:val="ListBullet"/>
      </w:pPr>
      <w:r>
        <w:t>- 数据缺口：province profile not found</w:t>
      </w:r>
    </w:p>
    <w:p>
      <w:pPr>
        <w:pStyle w:val="ListBullet"/>
      </w:pPr>
      <w:r>
        <w:t>- 提示：光伏发电量当前基于 default_full_load_hours 估算，资源精度仍可提升。</w:t>
      </w:r>
    </w:p>
    <w:p>
      <w:pPr>
        <w:pStyle w:val="Heading2"/>
      </w:pPr>
      <w:r>
        <w:t>结论建议</w:t>
      </w:r>
    </w:p>
    <w:p>
      <w:r>
        <w:t>项目经济性可行，但需关注边界条件变化风险。</w:t>
      </w:r>
    </w:p>
    <w:p>
      <w:r>
        <w:t>本报告基于当前输入条件生成，结论仅供前置方案参考，不替代正式可研或投决用报告。</w:t>
      </w:r>
    </w:p>
    <w:p>
      <w:r>
        <w:br w:type="page"/>
      </w:r>
    </w:p>
    <w:p>
      <w:pPr>
        <w:pStyle w:val="Heading1"/>
      </w:pPr>
      <w:r>
        <w:t>1.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山东盛泰药业用户侧储能项目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场景类型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user_side_storage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省份/地区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储能策略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peak_shaving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数据完整度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high / 100</w:t>
            </w:r>
          </w:p>
        </w:tc>
      </w:tr>
    </w:tbl>
    <w:p>
      <w:pPr>
        <w:pStyle w:val="Heading1"/>
      </w:pPr>
      <w:r>
        <w:t>2. 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光伏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2.0 MWp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年发电 1,777 MWh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风电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 MW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年发电 0 MWh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4.0 MW / 20.0 MWh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年循环 404 次</w:t>
            </w:r>
          </w:p>
        </w:tc>
      </w:tr>
    </w:tbl>
    <w:p>
      <w:r>
        <w:t>调度策略：peak_shaving</w:t>
      </w:r>
    </w:p>
    <w:p>
      <w:r>
        <w:t>日储能循环：1.107    削峰量：64 kW</w:t>
      </w:r>
    </w:p>
    <w:p>
      <w:pPr>
        <w:pStyle w:val="Heading2"/>
      </w:pPr>
      <w:r>
        <w:t>储能月度充放电量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充电 (MWh)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放电 (MWh)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693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619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664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664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720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720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orage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发电量及绿电覆盖率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年光伏发电量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1,777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年风电发电量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 MWh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年总发电量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1,777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年储能放电量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8,081 MWh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年购电量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14,143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绿电覆盖率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新能源自行消纳率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</w:tbl>
    <w:p>
      <w:pPr>
        <w:pStyle w:val="Heading1"/>
      </w:pPr>
      <w:r>
        <w:t>4. 财务分析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财务指标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项目总投资 (CAPEX)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2,340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年运营成本 (OPEX)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35 万元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年收益/节费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404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Project IRR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10.10%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Equity IRR（70%负债）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17.81%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净现值 (NPV)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278 万元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权益净现值 (Equity NPV)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570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静态回收期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8.0 年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动态回收期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12.0 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总投资收益率 (ROI)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12.4%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净资产收益率 (ROE)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41.5%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偿债覆盖率 (DSCR)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1.486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系统平准化度电成本 (LCOE)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1.1457 元/kWh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平准化储能成本 (LCOS)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0.2141 元/kWh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光伏 LCOE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0.3134 元/kWh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风电 LCOE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None 元/kWh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 LCOS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0.2141 元/kWh</w:t>
            </w:r>
          </w:p>
        </w:tc>
      </w:tr>
    </w:tbl>
    <w:p>
      <w:r>
        <w:t>基线年能源成本：1,080 万元</w:t>
      </w:r>
    </w:p>
    <w:p>
      <w:pPr>
        <w:pStyle w:val="Heading2"/>
      </w:pPr>
      <w:r>
        <w:t>收益拆解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收益项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储能节费/削峰收益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299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光伏自发自用收益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 万元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3614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项目现金流曲线</w:t>
      </w:r>
    </w:p>
    <w:p>
      <w:r>
        <w:drawing>
          <wp:inline xmlns:a="http://schemas.openxmlformats.org/drawingml/2006/main" xmlns:pic="http://schemas.openxmlformats.org/drawingml/2006/picture">
            <wp:extent cx="5943600" cy="316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sh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融资结构分析</w:t>
      </w:r>
    </w:p>
    <w:p>
      <w:r>
        <w:t>融资模式：贷款</w:t>
      </w:r>
    </w:p>
    <w:p>
      <w:r>
        <w:t>权益 IRR：17.81%    （项目 IRR 10.10%，杠杆放大 1.8x）</w:t>
      </w:r>
    </w:p>
    <w:p>
      <w:r>
        <w:t>DSCR 最低值：1.486    （银行可贷标准：&gt;1.2）</w:t>
      </w:r>
    </w:p>
    <w:p>
      <w:pPr>
        <w:pStyle w:val="Heading1"/>
      </w:pPr>
      <w:r>
        <w:t>6. 碳减排分析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基线排放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7,779 tCO₂e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项目后排放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2,357 tCO₂e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年减排量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5,422 tCO₂e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声明目标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需按范围一/二边界、环境属性归属和外部核证要求进一步确认零碳声明边界</w:t>
            </w:r>
          </w:p>
        </w:tc>
      </w:tr>
    </w:tbl>
    <w:p>
      <w:pPr>
        <w:pStyle w:val="Heading1"/>
      </w:pPr>
      <w:r>
        <w:t>7. 风险与敏感性分析</w:t>
      </w:r>
    </w:p>
    <w:p>
      <w:pPr>
        <w:pStyle w:val="Heading2"/>
      </w:pPr>
      <w:r>
        <w:t>7.1 单变量敏感性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收益影响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敏感度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设备投资上升10%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 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发电量下降10%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-105,121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绿电覆盖率下降5%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-52,564 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7.2 双变量敏感性热力图（CAPEX × 发电量）</w:t>
      </w:r>
    </w:p>
    <w:p>
      <w:r>
        <w:t>IRR 矩阵（%）: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CAPEX\发电量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90%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110%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90%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10.1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10.8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110%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10.1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10.8</w:t>
            </w:r>
          </w:p>
        </w:tc>
      </w:tr>
    </w:tbl>
    <w:p>
      <w:pPr>
        <w:pStyle w:val="Heading2"/>
      </w:pPr>
      <w:r>
        <w:t>7.3 蒙特卡洛 IRR 模拟</w:t>
      </w:r>
    </w:p>
    <w:p>
      <w:r>
        <w:t>模拟次数：500 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P10（乐观）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P50（中位数）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P90（悲观）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8.7%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10.1%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11.5%</w:t>
            </w:r>
          </w:p>
        </w:tc>
      </w:tr>
    </w:tbl>
    <w:p>
      <w:r>
        <w:t>置信度：90% 概率 IRR ≥ 8.7%</w:t>
      </w:r>
    </w:p>
    <w:p>
      <w:pPr>
        <w:pStyle w:val="Heading2"/>
      </w:pPr>
      <w:r>
        <w:t>7.4 Tornado 敏感性图</w:t>
      </w:r>
    </w:p>
    <w:p>
      <w:r>
        <w:drawing>
          <wp:inline xmlns:a="http://schemas.openxmlformats.org/drawingml/2006/main" xmlns:pic="http://schemas.openxmlformats.org/drawingml/2006/picture">
            <wp:extent cx="5943600" cy="363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rn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7.5 风险提示</w:t>
      </w:r>
    </w:p>
    <w:p>
      <w:pPr>
        <w:pStyle w:val="ListBullet"/>
      </w:pPr>
      <w:r>
        <w:t>⚠ 光伏发电量当前基于 default_full_load_hours 估算，资源精度仍可提升。</w:t>
      </w:r>
    </w:p>
    <w:p>
      <w:pPr>
        <w:pStyle w:val="Heading1"/>
      </w:pPr>
      <w:r>
        <w:t>8. 数据质量</w:t>
      </w:r>
    </w:p>
    <w:p>
      <w:r>
        <w:t>数据质量评分：100/100    等级：high</w:t>
      </w:r>
    </w:p>
    <w:p>
      <w:pPr>
        <w:pStyle w:val="ListBullet"/>
      </w:pPr>
      <w:r>
        <w:t>[missing] load_data.load_series_kw: load_data.load_series_kw 缺失或为空。</w:t>
      </w:r>
    </w:p>
    <w:p>
      <w:pPr>
        <w:pStyle w:val="ListBullet"/>
      </w:pPr>
      <w:r>
        <w:t>[missing] load_data.cooling_load_series_kw: load_data.cooling_load_series_kw 缺失或为空。</w:t>
      </w:r>
    </w:p>
    <w:p>
      <w:pPr>
        <w:pStyle w:val="ListBullet"/>
      </w:pPr>
      <w:r>
        <w:t>[missing] load_data.heating_load_series_kw: load_data.heating_load_series_kw 缺失或为空。</w:t>
      </w:r>
    </w:p>
    <w:p>
      <w:pPr>
        <w:pStyle w:val="ListBullet"/>
      </w:pPr>
      <w:r>
        <w:t>[missing] resource_data.solar.hourly_generation_profile_kw: resource_data.solar.hourly_generation_profile_kw 缺失或为空。</w:t>
      </w:r>
    </w:p>
    <w:p>
      <w:pPr>
        <w:pStyle w:val="ListBullet"/>
      </w:pPr>
      <w:r>
        <w:t>[missing] resource_data.wind.hourly_generation_profile_kw: resource_data.wind.hourly_generation_profile_kw 缺失或为空。</w:t>
      </w:r>
    </w:p>
    <w:p>
      <w:pPr>
        <w:pStyle w:val="ListBullet"/>
      </w:pPr>
      <w:r>
        <w:t>[missing] resource_data.wind.wind_speed_series_mps: resource_data.wind.wind_speed_series_mps 缺失或为空。</w:t>
      </w:r>
    </w:p>
    <w:p>
      <w:pPr>
        <w:pStyle w:val="ListBullet"/>
      </w:pPr>
      <w:r>
        <w:t>[missing] charging_data.arrival_profile: charging_data.arrival_profile 缺失或为空。</w:t>
      </w:r>
    </w:p>
    <w:p/>
    <w:p>
      <w:pPr>
        <w:jc w:val="center"/>
      </w:pPr>
      <w:r>
        <w:rPr>
          <w:color w:val="808080"/>
          <w:sz w:val="20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