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864"/>
          <w:sz w:val="44"/>
        </w:rPr>
        <w:t>新能源电力解决方案分析报告</w:t>
      </w:r>
    </w:p>
    <w:p>
      <w:pPr>
        <w:jc w:val="center"/>
      </w:pPr>
      <w:r>
        <w:rPr>
          <w:sz w:val="28"/>
        </w:rPr>
        <w:br/>
        <w:t>毛里塔尼亚矿区光储微电网项目 (最终版)</w:t>
        <w:br/>
        <w:br/>
      </w:r>
      <w:r>
        <w:rPr>
          <w:sz w:val="20"/>
        </w:rPr>
        <w:t>场景类型：zero_carbon_factory    省份：Overseas</w:t>
      </w:r>
    </w:p>
    <w:p>
      <w:r>
        <w:br w:type="page"/>
      </w:r>
    </w:p>
    <w:p>
      <w:pPr>
        <w:pStyle w:val="Heading1"/>
      </w:pPr>
      <w:r>
        <w:t>1. 项目概况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项目名称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毛里塔尼亚矿区光储微电网项目 (最终版)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场景类型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zero_carbon_factory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省份/地区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Overseas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储能策略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microgrid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数据完整度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high / 93</w:t>
            </w:r>
          </w:p>
        </w:tc>
      </w:tr>
    </w:tbl>
    <w:p>
      <w:pPr>
        <w:pStyle w:val="Heading1"/>
      </w:pPr>
      <w:r>
        <w:t>2. 推荐方案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设备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光伏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50.0 MWp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年发电 82,703 MWh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风电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72.0 MW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年发电 399,456 MWh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储能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51.0 MW / 102.0 MWh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年循环 419 次</w:t>
            </w:r>
          </w:p>
        </w:tc>
      </w:tr>
    </w:tbl>
    <w:p>
      <w:r>
        <w:t>调度策略：microgrid</w:t>
      </w:r>
    </w:p>
    <w:p>
      <w:r>
        <w:t>日储能循环：1.148    削峰量：427 kW</w:t>
      </w:r>
    </w:p>
    <w:p>
      <w:pPr>
        <w:pStyle w:val="Heading2"/>
      </w:pPr>
      <w:r>
        <w:t>储能月度充放电量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充电 (MWh)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放电 (MWh)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3883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3657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3276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3897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3629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3773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3514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3901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3632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3775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3516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3902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3634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3901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3633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3773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3513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3896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3628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3768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3509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3880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3613</w:t>
            </w:r>
          </w:p>
        </w:tc>
      </w:tr>
    </w:tbl>
    <w:p>
      <w:pPr>
        <w:pStyle w:val="Heading1"/>
      </w:pPr>
      <w:r>
        <w:t>3. 发电量及绿电覆盖率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年光伏发电量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82,703 MWh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年风电发电量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399,456 MWh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年总发电量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482,159 MWh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年储能放电量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42,753 MWh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年购电量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41,066 MWh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绿电覆盖率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92.1%</w:t>
            </w:r>
          </w:p>
        </w:tc>
      </w:tr>
    </w:tbl>
    <w:p>
      <w:pPr>
        <w:pStyle w:val="Heading1"/>
      </w:pPr>
      <w:r>
        <w:t>4. 财务分析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财务指标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项目总投资 (CAPEX)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70,250 万元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年运营成本 (OPEX)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1,194 万元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年收益/节费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53,862 万元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Project IRR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74.58%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Equity IRR（70%负债）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216.12%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净现值 (NPV)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371,005 万元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权益净现值 (Equity NPV)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378,083 万元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静态回收期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2.0 年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动态回收期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2.0 年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总投资收益率 (ROI)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73.0%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净资产收益率 (ROE)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243.3%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偿债覆盖率 (DSCR)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7.386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平准化度电成本 (LCOE)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0.1302 元/kWh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平准化储能成本 (LCOS)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0.2068 元/kWh</w:t>
            </w:r>
          </w:p>
        </w:tc>
      </w:tr>
    </w:tbl>
    <w:p>
      <w:pPr>
        <w:pStyle w:val="Heading1"/>
      </w:pPr>
      <w:r>
        <w:t>5. 融资结构分析</w:t>
      </w:r>
    </w:p>
    <w:p>
      <w:r>
        <w:t>融资模式：银行贷款（等额本金还款）</w:t>
      </w:r>
    </w:p>
    <w:p>
      <w:r>
        <w:t>负债率：70%    贷款利率：4.5%    贷款期限：10 年</w:t>
      </w:r>
    </w:p>
    <w:p>
      <w:r>
        <w:t>权益 IRR：216.12%    （项目 IRR 74.58%，杠杆放大 2.9x）</w:t>
      </w:r>
    </w:p>
    <w:p>
      <w:r>
        <w:t>DSCR 最低值：7.386    （银行可贷标准：&gt;1.2）</w:t>
      </w:r>
    </w:p>
    <w:p>
      <w:pPr>
        <w:pStyle w:val="Heading1"/>
      </w:pPr>
      <w:r>
        <w:t>6. 碳减排分析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基线排放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476,000 tCO₂e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项目后排放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207,285 tCO₂e</w:t>
            </w:r>
          </w:p>
        </w:tc>
      </w:tr>
      <w:tr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年减排量</w:t>
            </w:r>
          </w:p>
        </w:tc>
        <w:tc>
          <w:tcPr>
            <w:tcW w:type="dxa" w:w="432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268,715 tCO₂e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声明目标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零碳矿区</w:t>
            </w:r>
          </w:p>
        </w:tc>
      </w:tr>
    </w:tbl>
    <w:p>
      <w:pPr>
        <w:pStyle w:val="Heading1"/>
      </w:pPr>
      <w:r>
        <w:t>7. 风险与敏感性分析</w:t>
      </w:r>
    </w:p>
    <w:p>
      <w:pPr>
        <w:pStyle w:val="Heading2"/>
      </w:pPr>
      <w:r>
        <w:t>7.1 单变量敏感性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因素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收益影响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敏感度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峰谷价差下降10%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-43,089,298 元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设备投资上升10%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 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年可调用天数下降10%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-32,316,974 元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绿电覆盖率下降10%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-1,343,573 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</w:tr>
    </w:tbl>
    <w:p>
      <w:pPr>
        <w:pStyle w:val="Heading2"/>
      </w:pPr>
      <w:r>
        <w:t>7.2 双变量敏感性热力图（CAPEX × 发电量）</w:t>
      </w:r>
    </w:p>
    <w:p>
      <w:r>
        <w:t>IRR 矩阵（%）: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CAPEX\发电量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80%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90%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100%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110%</w:t>
            </w:r>
          </w:p>
        </w:tc>
        <w:tc>
          <w:tcPr>
            <w:tcW w:type="dxa" w:w="144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120%</w:t>
            </w:r>
          </w:p>
        </w:tc>
      </w:tr>
      <w:tr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80%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74.6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83.9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93.2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102.6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111.9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66.3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74.6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82.9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91.1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99.4</w:t>
            </w:r>
          </w:p>
        </w:tc>
      </w:tr>
      <w:tr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59.7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67.1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74.6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82.0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89.5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54.2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61.0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67.8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74.6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81.4</w:t>
            </w:r>
          </w:p>
        </w:tc>
      </w:tr>
      <w:tr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120%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49.7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55.9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62.2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68.4</w:t>
            </w:r>
          </w:p>
        </w:tc>
        <w:tc>
          <w:tcPr>
            <w:tcW w:type="dxa" w:w="144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74.6</w:t>
            </w:r>
          </w:p>
        </w:tc>
      </w:tr>
    </w:tbl>
    <w:p>
      <w:pPr>
        <w:pStyle w:val="Heading2"/>
      </w:pPr>
      <w:r>
        <w:t>7.3 蒙特卡洛 IRR 模拟</w:t>
      </w:r>
    </w:p>
    <w:p>
      <w:r>
        <w:t>模拟次数：500 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P10（乐观）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P50（中位数）</w:t>
            </w:r>
          </w:p>
        </w:tc>
        <w:tc>
          <w:tcPr>
            <w:tcW w:type="dxa" w:w="2880"/>
            <w:shd w:fill="2F5496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P90（悲观）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60.0%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60.0%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60.0%</w:t>
            </w:r>
          </w:p>
        </w:tc>
      </w:tr>
    </w:tbl>
    <w:p>
      <w:r>
        <w:t>置信度：90% 概率 IRR ≥ 60.0%</w:t>
      </w:r>
    </w:p>
    <w:p>
      <w:pPr>
        <w:pStyle w:val="Heading2"/>
      </w:pPr>
      <w:r>
        <w:t>7.4 风险提示</w:t>
      </w:r>
    </w:p>
    <w:p>
      <w:pPr>
        <w:pStyle w:val="ListBullet"/>
      </w:pPr>
      <w:r>
        <w:t>⚠ 冷热负荷若缺少逐时数据，设备容量和运行收益可能偏离实际。</w:t>
      </w:r>
    </w:p>
    <w:p>
      <w:pPr>
        <w:pStyle w:val="ListBullet"/>
      </w:pPr>
      <w:r>
        <w:t>⚠ 零碳声明需额外满足碳核算边界、环境属性归属和第三方评价要求。</w:t>
      </w:r>
    </w:p>
    <w:p>
      <w:pPr>
        <w:pStyle w:val="ListBullet"/>
      </w:pPr>
      <w:r>
        <w:t>⚠ 光伏发电量当前基于 annual_irradiation_kwh_per_m2 估算，资源精度仍可提升。</w:t>
      </w:r>
    </w:p>
    <w:p>
      <w:pPr>
        <w:pStyle w:val="ListBullet"/>
      </w:pPr>
      <w:r>
        <w:t>⚠ load_data.heating_load_series_kw 全部相同，时序质量偏低。</w:t>
      </w:r>
    </w:p>
    <w:p>
      <w:pPr>
        <w:pStyle w:val="Heading1"/>
      </w:pPr>
      <w:r>
        <w:t>8. 数据质量</w:t>
      </w:r>
    </w:p>
    <w:p>
      <w:r>
        <w:t>数据质量评分：93/100    等级：high</w:t>
      </w:r>
    </w:p>
    <w:p>
      <w:pPr>
        <w:pStyle w:val="ListBullet"/>
      </w:pPr>
      <w:r>
        <w:t>[ok] load_data.load_series_kw: load_data.load_series_kw 长度 24。</w:t>
      </w:r>
    </w:p>
    <w:p>
      <w:pPr>
        <w:pStyle w:val="ListBullet"/>
      </w:pPr>
      <w:r>
        <w:t>[missing] load_data.cooling_load_series_kw: load_data.cooling_load_series_kw 缺失或为空。</w:t>
      </w:r>
    </w:p>
    <w:p>
      <w:pPr>
        <w:pStyle w:val="ListBullet"/>
      </w:pPr>
      <w:r>
        <w:t>[warning] load_data.heating_load_series_kw: load_data.heating_load_series_kw 全部相同，时序质量偏低。</w:t>
      </w:r>
    </w:p>
    <w:p>
      <w:pPr>
        <w:pStyle w:val="ListBullet"/>
      </w:pPr>
      <w:r>
        <w:t>[missing] resource_data.solar.hourly_generation_profile_kw: resource_data.solar.hourly_generation_profile_kw 缺失或为空。</w:t>
      </w:r>
    </w:p>
    <w:p>
      <w:pPr>
        <w:pStyle w:val="ListBullet"/>
      </w:pPr>
      <w:r>
        <w:t>[ok] resource_data.wind.hourly_generation_profile_kw: resource_data.wind.hourly_generation_profile_kw 长度 24。</w:t>
      </w:r>
    </w:p>
    <w:p>
      <w:pPr>
        <w:pStyle w:val="ListBullet"/>
      </w:pPr>
      <w:r>
        <w:t>[missing] resource_data.wind.wind_speed_series_mps: resource_data.wind.wind_speed_series_mps 缺失或为空。</w:t>
      </w:r>
    </w:p>
    <w:p>
      <w:pPr>
        <w:pStyle w:val="ListBullet"/>
      </w:pPr>
      <w:r>
        <w:t>[missing] charging_data.arrival_profile: charging_data.arrival_profile 缺失或为空。</w:t>
      </w:r>
    </w:p>
    <w:p/>
    <w:p>
      <w:pPr>
        <w:jc w:val="center"/>
      </w:pPr>
      <w:r>
        <w:rPr>
          <w:color w:val="808080"/>
          <w:sz w:val="20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