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F3AB" w14:textId="64BA6B4F" w:rsidR="00F00BC5" w:rsidRDefault="00803AE2">
      <w:r>
        <w:t>Current handling, return path control, power rail decoupling, ground bounce reduction</w:t>
      </w:r>
    </w:p>
    <w:sectPr w:rsidR="00F0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3C"/>
    <w:rsid w:val="0060133C"/>
    <w:rsid w:val="00803AE2"/>
    <w:rsid w:val="00F0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C417"/>
  <w15:chartTrackingRefBased/>
  <w15:docId w15:val="{EA91F726-079F-461B-AD8B-A11ABA2B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zhao</dc:creator>
  <cp:keywords/>
  <dc:description/>
  <cp:lastModifiedBy>xinyuan zhao</cp:lastModifiedBy>
  <cp:revision>2</cp:revision>
  <dcterms:created xsi:type="dcterms:W3CDTF">2021-08-24T21:44:00Z</dcterms:created>
  <dcterms:modified xsi:type="dcterms:W3CDTF">2021-08-24T21:46:00Z</dcterms:modified>
</cp:coreProperties>
</file>