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仿真场景设计 · 场景3</w:t>
      </w:r>
    </w:p>
    <w:p>
      <w:pPr>
        <w:pStyle w:val="Title"/>
        <w:keepNext/>
        <w:jc w:val="center"/>
      </w:pPr>
      <w:r>
        <w:t>台岛以东海域海空交战战场透视作战仿真场景设计文档</w:t>
      </w:r>
    </w:p>
    <w:p>
      <w:pPr>
        <w:pStyle w:val="Subtitle"/>
        <w:spacing w:after="480"/>
        <w:jc w:val="center"/>
      </w:pPr>
      <w:r>
        <w:t>场景三：手段装备体系贡献率仿真场景</w:t>
      </w:r>
    </w:p>
    <w:p>
      <w:pPr>
        <w:spacing w:before="360" w:after="880"/>
        <w:jc w:val="center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color w:val="667085"/>
          <w:sz w:val="21"/>
        </w:rPr>
        <w:t>体系贡献率与费效比优化 / 每种装备值不值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统一时空基准：2026年3月15日19:00 UTC起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pPr>
        <w:spacing w:after="240"/>
      </w:pPr>
      <w:r>
        <w:t>以下基于参考测试场景文档格式，结合台岛以东海域海空交战背景，从cmo-db.com装备数据库选取实装或模型化装备，设计三个仿真场景文档。三个场景共用统一的战场时空基准（2026年3月15日19:00 UTC起，持续约30小时），分别对应"战场区域透视能力仿真评估""情报链杀伤链铰链能力检验评估""手段装备体系贡献率评估"三个评估科目。</w:t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针对侦察感知体系手段装备使命任务及运用特点，设计典型作战运用场景，通过"有无对比""不同类型装备比量"的对比实验方法，评估各手段装备（低轨卫星星座、临近空间平台、隐身长航时无人机、预警机、侦察船、侦察弹）对体系能力的贡献率，发现指标间的相互关系和单项装备指标变化对体系能力的影响曲线。</w:t>
      </w:r>
    </w:p>
    <w:p>
      <w:pPr>
        <w:pStyle w:val="Heading1"/>
      </w:pPr>
      <w:r>
        <w:t>二、想定信息</w:t>
      </w:r>
    </w:p>
    <w:p>
      <w:pPr>
        <w:pStyle w:val="Heading3"/>
        <w:keepNext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755"/>
        <w:gridCol w:w="7605"/>
      </w:tblGrid>
      <w:tr>
        <w:trPr>
          <w:trHeight w:hRule="atLeast"/>
          <w:tblHeader w:val="true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想定指标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想定标题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侦察感知手段装备体系贡献率评估基本想定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想定推演方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红方（中国大陆）、蓝方（美盟联军）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发生地点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台岛以东海域（N23°～N27°、E122°～E128°）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6小时30分钟（单次实验）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4255"/>
        <w:gridCol w:w="5105"/>
      </w:tblGrid>
      <w:tr>
        <w:trPr>
          <w:trHeight w:hRule="atLeast"/>
          <w:tblHeader w:val="true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气象指标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地区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平均气温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27°C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降雨量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小雨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云量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多云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风力/海况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2级海况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color w:val="1F2933"/>
          <w:sz w:val="21"/>
        </w:rPr>
        <w:t>构建包含全部侦察手段的基准想定（想定0），然后通过逐一移除或替换某一侦察手段，形成一组对比想定（想定1-7），在相同战场条件、相同蓝方威胁、相同任务剖面下开展仿真推演，计算各装备对"区域透视能力""情报链路效能""目标打击效果"三层体系指标的边际贡献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color w:val="1F2933"/>
          <w:sz w:val="21"/>
        </w:rPr>
        <w:t>与场景一、二一致，以隐身飞机、静默舰艇、多层防空构成综合威胁，为红方侦察体系提供统一对抗背景。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（一）基准想定（想定0）红方全手段编成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361"/>
        <w:gridCol w:w="2874"/>
        <w:gridCol w:w="2553"/>
        <w:gridCol w:w="1872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手段装备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型号/数量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关键参数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核心使命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低轨光学星座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吉林一号×6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650km轨道，0.5m分辨率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广域普查、动态监视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SAR侦察卫星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尖兵25C×1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全天候SAR成像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云下目标探测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临近空间平台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高度30-40km，速度4马赫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高速突防、高分辨率成像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隐身长航时无人机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攻击-11侦察型×4、无侦-7×2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隐身穿透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持续抵近监视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预警指挥机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空警-500A×3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探测470km，跟踪100目标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空域指挥、空情探测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电子侦察船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815A型×2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6000吨级，ESM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海上机动电子侦察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侦察弹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东风-15C侦察弹构型×4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弹道再入，落区侦察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快速目标区覆盖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（二）对比想定组设计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40"/>
        <w:gridCol w:w="2080"/>
        <w:gridCol w:w="4420"/>
        <w:gridCol w:w="1820"/>
      </w:tblGrid>
      <w:tr>
        <w:trPr>
          <w:trHeight w:hRule="atLeast"/>
          <w:tblHeader w:val="true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想定编号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移除/替换装备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剩余装备组合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实验目的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想定1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移除低轨星座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无侦-8+预警机+侦察船+侦察弹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天基贡献率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想定2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移除临近空间平台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星座+无人机+预警机+侦察船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临空贡献率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想定3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移除预警机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星座+临空+无人机+侦察船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空基指挥贡献率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想定4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移除侦察船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星座+临空+无人机+预警机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海基贡献率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想定5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移除侦察弹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星座+临空+无人机+预警机+侦察船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弹载侦察贡献率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想定6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单一卫星体系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仅吉林一号+尖兵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天基独立效能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想定7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单一空基体系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仅预警机+无人机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空基独立效能</w:t>
            </w:r>
          </w:p>
        </w:tc>
      </w:tr>
    </w:tbl>
    <w:p>
      <w:pPr>
        <w:spacing w:after="20"/>
      </w:pPr>
    </w:p>
    <w:p>
      <w:pPr>
        <w:pStyle w:val="Heading2"/>
      </w:pPr>
      <w:r>
        <w:t>（三）蓝方力量编成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蓝方编成与场景一、场景二保持一致，包括B-2A隐身轰炸机2架、F-35B8架、阿利·伯克驱逐舰2艘、爱国者防空连1个和F-16V战机24架，确保各对比想定面临相同威胁条件。</w:t>
      </w:r>
    </w:p>
    <w:p>
      <w:pPr>
        <w:pStyle w:val="Heading1"/>
      </w:pPr>
      <w:r>
        <w:t>五、任务编成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各对比想定统一执行以下任务剖面：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12"/>
        <w:gridCol w:w="2024"/>
        <w:gridCol w:w="1012"/>
        <w:gridCol w:w="2530"/>
        <w:gridCol w:w="2782"/>
      </w:tblGrid>
      <w:tr>
        <w:trPr>
          <w:trHeight w:hRule="atLeast"/>
          <w:tblHeader w:val="true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任务名称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任务类型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执行单位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任务时间(UTC)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区域态势构建任务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按想定组合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19:00-21:00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静默目标搜索任务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按想定组合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20:00-23:00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目标识别定位任务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按想定组合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21:00-01:00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目指保障打击任务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打击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歼-20+东风-17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22:00-02:00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毁伤评估任务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无侦-8/无人机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23:00-03:00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671"/>
        <w:gridCol w:w="2674"/>
        <w:gridCol w:w="1337"/>
        <w:gridCol w:w="3678"/>
      </w:tblGrid>
      <w:tr>
        <w:trPr>
          <w:trHeight w:hRule="atLeast"/>
          <w:tblHeader w:val="true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指标层级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核心指标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权重系数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度量方式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区域透视层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目标发现概率Pd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0.25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分区域统计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区域透视层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预警时间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首次发现至临空时间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区域透视层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态势更新率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0.10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态势刷新周期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协同定位精度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融合CEP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情报链路时延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0.10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传感器-武器平台时延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目指保障率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0.10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成功目指次数/需求次数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打击效果层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目标毁伤概率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蒙特卡洛统计</w:t>
            </w:r>
          </w:p>
        </w:tc>
      </w:tr>
    </w:tbl>
    <w:p>
      <w:pPr>
        <w:spacing w:after="20"/>
      </w:pP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体系贡献率计算方法：某装备贡献率 = (E_全体系 - E_移除该装备) / E_全体系 × 100%。同时通过敏感性分析，绘制"装备数量-体系效能""装备性能参数-体系效能"影响曲线（如无侦-8速度从2马赫增至5马赫对发现概率的提升曲线）。</w:t>
      </w: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仿真步长30秒，每个想定蒙特卡洛50次。采用统一蓝方威胁脚本和统一任务剖面，控制变量为红方侦察装备组合。通过统计分析输出各装备的体系贡献率排序、指标间相关性矩阵（如预警时间与发现概率的耦合关系）和单项装备指标变化的敏感性曲线，支撑侦察感知短板识别和情报贯通断点定位。重点分析无侦-8的"双四"指标（高度40km+速度4马赫）对传统防空体系的穿透能力，以及吉林一号星座规模与重访频率对动态目标连续跟踪能力的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场景三：手段装备体系贡献率仿真场景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场景三：手段装备体系贡献率仿真场景</dc:title>
  <dc:subject>台岛以东海域海空交战战场透视作战仿真场景设计文档</dc:subject>
  <dc:creator/>
  <cp:keywords/>
  <dc:description>依据用户提供文本整理成册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