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2E74B5"/>
          <w:sz w:val="22"/>
        </w:rPr>
        <w:t>仿真场景设计 · 场景2</w:t>
      </w:r>
    </w:p>
    <w:p>
      <w:pPr>
        <w:pStyle w:val="Title"/>
        <w:keepNext/>
        <w:jc w:val="center"/>
      </w:pPr>
      <w:r>
        <w:t>台岛以东海域海空交战战场透视作战仿真场景设计文档</w:t>
      </w:r>
    </w:p>
    <w:p>
      <w:pPr>
        <w:pStyle w:val="Subtitle"/>
        <w:spacing w:after="480"/>
        <w:jc w:val="center"/>
      </w:pPr>
      <w:r>
        <w:t>场景二：情报链杀伤链铰链能力检验仿真场景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color w:val="D9E0E8"/>
          <w:sz w:val="18"/>
        </w:rPr>
        <w:t>━━━━━━━━━━━━━━━━━━━━</w:t>
      </w:r>
    </w:p>
    <w:p>
      <w:pPr>
        <w:spacing w:after="880"/>
        <w:jc w:val="center"/>
      </w:pPr>
      <w:r>
        <w:rPr>
          <w:rFonts w:ascii="Microsoft YaHei" w:hAnsi="Microsoft YaHei" w:eastAsia="Microsoft YaHei"/>
          <w:b/>
          <w:color w:val="17365D"/>
          <w:sz w:val="21"/>
        </w:rPr>
        <w:t xml:space="preserve">评估定位  </w:t>
      </w:r>
      <w:r>
        <w:rPr>
          <w:rFonts w:ascii="Microsoft YaHei" w:hAnsi="Microsoft YaHei" w:eastAsia="Microsoft YaHei"/>
          <w:color w:val="667085"/>
          <w:sz w:val="21"/>
        </w:rPr>
        <w:t>情报链—武器链铰链效能 / 看见后能不能打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67085"/>
          <w:sz w:val="19"/>
        </w:rPr>
        <w:t>统一时空基准：2026年3月15日19:00 UTC起</w:t>
      </w:r>
    </w:p>
    <w:p>
      <w:r>
        <w:br w:type="page"/>
      </w:r>
    </w:p>
    <w:p>
      <w:pPr>
        <w:pStyle w:val="Heading1"/>
        <w:spacing w:before="0"/>
      </w:pPr>
      <w:r>
        <w:t>文档说明</w:t>
      </w:r>
    </w:p>
    <w:p>
      <w:pPr>
        <w:spacing w:after="240"/>
      </w:pPr>
      <w:r>
        <w:t>以下基于参考测试场景文档格式，结合台岛以东海域海空交战背景，从cmo-db.com装备数据库选取实装或模型化装备，设计三个仿真场景文档。三个场景共用统一的战场时空基准（2026年3月15日19:00 UTC起，持续约30小时），分别对应"战场区域透视能力仿真评估""情报链杀伤链铰链能力检验评估""手段装备体系贡献率评估"三个评估科目。</w:t>
      </w:r>
    </w:p>
    <w:p>
      <w:pPr>
        <w:pStyle w:val="Heading1"/>
      </w:pPr>
      <w:r>
        <w:t>一、想定背景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针对武器系统与海空目标"一对一"瞄准的动态构建杀伤网任务，构设多目标-多传感器仿真场景。红方在台岛以东海域组织"侦-控-打-评"一体化联演，蓝方以F-16V、E-2K、爱国者防空系统和水面舰艇编队构成多层防御。红方需在动态对抗条件下，实现多传感器（卫星、预警机、无人机、舰载雷达）对多目标（空中战机、水面舰艇、地面防空阵地）的协同探测、融合定位和目指分发，检验情报链-武器平台杀伤链的自适应交链能力。</w:t>
      </w:r>
    </w:p>
    <w:p>
      <w:pPr>
        <w:pStyle w:val="Heading1"/>
      </w:pPr>
      <w:r>
        <w:t>二、想定信息</w:t>
      </w:r>
    </w:p>
    <w:p>
      <w:pPr>
        <w:pStyle w:val="Heading3"/>
        <w:keepNext/>
      </w:pPr>
      <w:r>
        <w:t>想定基本信息表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755"/>
        <w:gridCol w:w="7605"/>
      </w:tblGrid>
      <w:tr>
        <w:trPr>
          <w:trHeight w:hRule="atLeast"/>
          <w:tblHeader w:val="true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想定指标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想定标题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台岛以东多目标-多传感器杀伤链铰链基本想定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想定推演方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红方（中国大陆）、蓝方（台湾地区+美盟）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发生地点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台岛以东海域及台湾岛内防空区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想定开始时间UTC：2026.03.15 19:00:00</w:t>
            </w:r>
          </w:p>
        </w:tc>
      </w:tr>
      <w:tr>
        <w:trPr>
          <w:trHeight w:hRule="atLeast"/>
        </w:trPr>
        <w:tc>
          <w:tcPr>
            <w:tcW w:type="dxa" w:w="175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想定持续时间</w:t>
            </w:r>
          </w:p>
        </w:tc>
        <w:tc>
          <w:tcPr>
            <w:tcW w:type="dxa" w:w="76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1天5小时30分钟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想定气象条件表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2925"/>
        <w:gridCol w:w="6435"/>
      </w:tblGrid>
      <w:tr>
        <w:trPr>
          <w:trHeight w:hRule="atLeast"/>
          <w:tblHeader w:val="true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气象指标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指标信息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地区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台岛以东海域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平均气温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28°C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降雨量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局部阵雨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云量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多云，云底高2500米</w:t>
            </w:r>
          </w:p>
        </w:tc>
      </w:tr>
      <w:tr>
        <w:trPr>
          <w:trHeight w:hRule="atLeast"/>
        </w:trPr>
        <w:tc>
          <w:tcPr>
            <w:tcW w:type="dxa" w:w="29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风力/海况</w:t>
            </w:r>
          </w:p>
        </w:tc>
        <w:tc>
          <w:tcPr>
            <w:tcW w:type="dxa" w:w="64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2级海况</w:t>
            </w:r>
          </w:p>
        </w:tc>
      </w:tr>
    </w:tbl>
    <w:p>
      <w:pPr>
        <w:spacing w:after="20"/>
      </w:pPr>
    </w:p>
    <w:p>
      <w:pPr>
        <w:pStyle w:val="Heading1"/>
      </w:pPr>
      <w:r>
        <w:t>三、作战企图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（一）红方企图：</w:t>
      </w:r>
      <w:r>
        <w:rPr>
          <w:rFonts w:ascii="Microsoft YaHei" w:hAnsi="Microsoft YaHei" w:eastAsia="Microsoft YaHei"/>
          <w:color w:val="1F2933"/>
          <w:sz w:val="21"/>
        </w:rPr>
        <w:t>以空警-500A预警机、无侦-7/8无人机、吉林一号卫星、815A侦察船和055型驱逐舰舰载雷达组成多源传感器网，对蓝方F-16V战机（AIM-120挂载）、E-2K预警机、爱国者防空连和水面舰艇实施协同探测；以歼-20（霹雳-15C挂载）、歼-16（霹雳-15挂载）、东风-17高超音速导弹（射程1800-2500km，速度10马赫以上）、鹰击-21反舰导弹为打击武器，构建"发现-定位-跟踪-瞄准-打击-评估"（F2T2EA）杀伤闭环。</w:t>
      </w:r>
    </w:p>
    <w:p>
      <w:pPr>
        <w:widowControl/>
        <w:ind w:firstLine="446"/>
      </w:pPr>
      <w:r>
        <w:rPr>
          <w:rFonts w:ascii="Microsoft YaHei" w:hAnsi="Microsoft YaHei" w:eastAsia="Microsoft YaHei"/>
          <w:b/>
          <w:color w:val="1F2933"/>
          <w:sz w:val="21"/>
        </w:rPr>
        <w:t>（二）蓝方企图：</w:t>
      </w:r>
      <w:r>
        <w:rPr>
          <w:rFonts w:ascii="Microsoft YaHei" w:hAnsi="Microsoft YaHei" w:eastAsia="Microsoft YaHei"/>
          <w:color w:val="1F2933"/>
          <w:sz w:val="21"/>
        </w:rPr>
        <w:t>以E-2K预警机（N24°42′E121°44′，8000米巡逻）提供空情，F-16V双机编队实施前线空战巡逻，爱国者1营（N24°57′E121°30′，开雷达）负责要地防空，阿利·伯克舰实施海基反导，企图阻滞红方空中突击和导弹打击。</w:t>
      </w:r>
    </w:p>
    <w:p>
      <w:pPr>
        <w:pStyle w:val="Heading1"/>
      </w:pPr>
      <w:r>
        <w:t>四、作战编成</w:t>
      </w:r>
    </w:p>
    <w:p>
      <w:pPr>
        <w:pStyle w:val="Heading2"/>
      </w:pPr>
      <w:r>
        <w:t>（一）红方"侦-控-打"一体力量编成</w:t>
      </w:r>
    </w:p>
    <w:p>
      <w:pPr>
        <w:pStyle w:val="Heading3"/>
        <w:keepNext/>
      </w:pPr>
      <w:r>
        <w:t>红方多传感器侦察编成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1510"/>
        <w:gridCol w:w="1812"/>
        <w:gridCol w:w="2415"/>
        <w:gridCol w:w="2923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序号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传感器平台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数量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关键探测参数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部署地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1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空警-500A预警机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X波段相控阵，探测距离470km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N25°42′E118°15′8000m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无侦-7无人机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红外+可见光双模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台东高空巡逻区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无侦-8无人机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SAR+光电，4马赫高速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临空突防走廊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吉林一号星座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6颗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光学0.5m，10分钟重访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过境侦察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5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815A侦察船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ESM电子侦收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N25°30′E124°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055型驱逐舰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2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双波段雷达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台东警戒线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7</w:t>
            </w:r>
          </w:p>
        </w:tc>
        <w:tc>
          <w:tcPr>
            <w:tcW w:type="dxa" w:w="1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福州/龙田雷达站</w:t>
            </w:r>
          </w:p>
        </w:tc>
        <w:tc>
          <w:tcPr>
            <w:tcW w:type="dxa" w:w="18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JY-27A/JY-11</w:t>
            </w:r>
          </w:p>
        </w:tc>
        <w:tc>
          <w:tcPr>
            <w:tcW w:type="dxa" w:w="24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米波反隐身【参考文档】</w:t>
            </w:r>
          </w:p>
        </w:tc>
        <w:tc>
          <w:tcPr>
            <w:tcW w:type="dxa" w:w="29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福建沿海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t>红方打击武器编成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20"/>
        <w:gridCol w:w="1260"/>
        <w:gridCol w:w="1980"/>
        <w:gridCol w:w="720"/>
        <w:gridCol w:w="2880"/>
        <w:gridCol w:w="1800"/>
      </w:tblGrid>
      <w:tr>
        <w:trPr>
          <w:trHeight w:hRule="atLeast"/>
          <w:tblHeader w:val="true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武器平台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型号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数量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射程/关键参数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打击目标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歼-20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J-20+霹雳-15C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12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超视距空空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F-16V、E-2K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歼-16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J-16+霹雳-15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24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超视距空空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F-16V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东风-17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DF-17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1个营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1800-2500km，10马赫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爱国者阵地、机场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东风-15C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DF-15C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1个营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近程精确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雷达站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鹰击-21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YJ-21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舰载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高超音速反舰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水面舰艇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055型驱逐舰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HHQ-9B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舰空拦截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反击目标</w:t>
            </w:r>
          </w:p>
        </w:tc>
      </w:tr>
    </w:tbl>
    <w:p>
      <w:pPr>
        <w:spacing w:after="20"/>
      </w:pPr>
    </w:p>
    <w:p>
      <w:pPr>
        <w:pStyle w:val="Heading2"/>
      </w:pPr>
      <w:r>
        <w:t>（二）蓝方防御力量编成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20"/>
        <w:gridCol w:w="900"/>
        <w:gridCol w:w="1440"/>
        <w:gridCol w:w="720"/>
        <w:gridCol w:w="1980"/>
        <w:gridCol w:w="3600"/>
      </w:tblGrid>
      <w:tr>
        <w:trPr>
          <w:trHeight w:hRule="atLeast"/>
          <w:tblHeader w:val="true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部队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型号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数量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关键参数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部署地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空113团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F-16V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24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AIM-120C挂载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花莲机场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空114团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E-2K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预警探测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N24°42′E121°44′8000m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爱国者1营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爱国者PAC-3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1连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开雷达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N24°57′E121°30′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雷达1营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TPS-77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三坐标雷达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N25°01′E121°12′</w:t>
            </w:r>
          </w:p>
        </w:tc>
      </w:tr>
      <w:tr>
        <w:trPr>
          <w:trHeight w:hRule="atLeast"/>
        </w:trP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美DDG</w:t>
            </w:r>
          </w:p>
        </w:tc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阿利·伯克ⅡA</w:t>
            </w:r>
          </w:p>
        </w:tc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9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SPY-1D+标准-6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台东海域机动</w:t>
            </w:r>
          </w:p>
        </w:tc>
      </w:tr>
    </w:tbl>
    <w:p>
      <w:pPr>
        <w:spacing w:after="20"/>
      </w:pPr>
    </w:p>
    <w:p>
      <w:pPr>
        <w:pStyle w:val="Heading1"/>
      </w:pPr>
      <w:r>
        <w:t>五、任务编成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700"/>
        <w:gridCol w:w="1135"/>
        <w:gridCol w:w="700"/>
        <w:gridCol w:w="2428"/>
        <w:gridCol w:w="2553"/>
        <w:gridCol w:w="1844"/>
      </w:tblGrid>
      <w:tr>
        <w:trPr>
          <w:trHeight w:hRule="atLeast"/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任务名称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任务类型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执行单位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参考点/被指定单位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6"/>
              </w:rPr>
              <w:t>任务时间(UTC)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多源协同探测任务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侦察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空警-500A+无侦-7+卫星+侦察船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台东扇形区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19:00-06:00持续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融合目指分发任务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支援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空警-500A（指控节点）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歼-20、歼-16、055舰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按需动态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3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反预警机打击任务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打击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歼-20×4（霹雳-15C）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E-2K预警机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21:00-22:00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4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防空压制任务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打击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东风-17×1营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爱国者1营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20:00-20:40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反舰打击任务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打击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055舰（鹰击-21）×2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阿利·伯克舰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22:00-23:00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6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反雷达打击任务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打击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苏-30×4（FAB炸弹）【参考文档】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TPS-77雷达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20:40-21:40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7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蓝方空战巡逻任务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巡逻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F-16V×12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N24°57′E121°10′矩形区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20:00-21:30</w:t>
            </w:r>
          </w:p>
        </w:tc>
      </w:tr>
      <w:tr>
        <w:trPr>
          <w:trHeight w:hRule="atLeast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8</w:t>
            </w:r>
          </w:p>
        </w:tc>
        <w:tc>
          <w:tcPr>
            <w:tcW w:type="dxa" w:w="11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蓝方预警机任务</w:t>
            </w:r>
          </w:p>
        </w:tc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支援</w:t>
            </w:r>
          </w:p>
        </w:tc>
        <w:tc>
          <w:tcPr>
            <w:tcW w:type="dxa" w:w="24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E-2K×1</w:t>
            </w:r>
          </w:p>
        </w:tc>
        <w:tc>
          <w:tcPr>
            <w:tcW w:type="dxa" w:w="25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N24°42′E121°44′矩形区</w:t>
            </w:r>
          </w:p>
        </w:tc>
        <w:tc>
          <w:tcPr>
            <w:tcW w:type="dxa" w:w="18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6"/>
              </w:rPr>
              <w:t>19:00-21:30</w:t>
            </w:r>
          </w:p>
        </w:tc>
      </w:tr>
    </w:tbl>
    <w:p>
      <w:pPr>
        <w:spacing w:after="20"/>
      </w:pPr>
    </w:p>
    <w:p>
      <w:pPr>
        <w:pStyle w:val="Heading1"/>
      </w:pPr>
      <w:r>
        <w:t>六、评估指标体系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D9E0E8"/>
          <w:left w:val="single" w:sz="5" w:color="D9E0E8"/>
          <w:bottom w:val="single" w:sz="5" w:color="D9E0E8"/>
          <w:right w:val="single" w:sz="5" w:color="D9E0E8"/>
          <w:insideH w:val="single" w:sz="5" w:color="D9E0E8"/>
          <w:insideV w:val="single" w:sz="5" w:color="D9E0E8"/>
        </w:tblBorders>
      </w:tblPr>
      <w:tblGrid>
        <w:gridCol w:w="1021"/>
        <w:gridCol w:w="2042"/>
        <w:gridCol w:w="1872"/>
        <w:gridCol w:w="4425"/>
      </w:tblGrid>
      <w:tr>
        <w:trPr>
          <w:trHeight w:hRule="atLeast"/>
          <w:tblHeader w:val="true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指标类别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核心指标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度量方式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17"/>
              </w:rPr>
              <w:t>计算公式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目标识别率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敌我识别/类型识别准确率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分目标类型统计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正确识别数/总目标数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协同定位精度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多源融合定位CEP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分传感器组合统计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融合定位误差圆概率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融合处理用时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多源信息融合周期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毫秒级统计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t_融合 = t_输出 - t_输入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情报链路时延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传感器至武器平台时延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秒级统计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Δt = t_武器接收 - t_传感器探测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目指保障能力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综合时空误差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位置误差+时间误差合成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σ_综合 = √(σ_空间² + (v×σ_时间)²)</w:t>
            </w:r>
          </w:p>
        </w:tc>
      </w:tr>
      <w:tr>
        <w:trPr>
          <w:trHeight w:hRule="atLeast"/>
        </w:trPr>
        <w:tc>
          <w:tcPr>
            <w:tcW w:type="dxa" w:w="10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信息间隔时间</w:t>
            </w:r>
          </w:p>
        </w:tc>
        <w:tc>
          <w:tcPr>
            <w:tcW w:type="dxa" w:w="204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目指更新周期</w:t>
            </w:r>
          </w:p>
        </w:tc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秒级统计</w:t>
            </w:r>
          </w:p>
        </w:tc>
        <w:tc>
          <w:tcPr>
            <w:tcW w:type="dxa" w:w="44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17"/>
              </w:rPr>
              <w:t>相邻两次目指时间差</w:t>
            </w:r>
          </w:p>
        </w:tc>
      </w:tr>
    </w:tbl>
    <w:p>
      <w:pPr>
        <w:spacing w:after="20"/>
      </w:pPr>
    </w:p>
    <w:p>
      <w:pPr>
        <w:pStyle w:val="Heading1"/>
      </w:pPr>
      <w:r>
        <w:t>七、推演设置</w:t>
      </w:r>
    </w:p>
    <w:p>
      <w:pPr>
        <w:widowControl/>
        <w:ind w:firstLine="446"/>
      </w:pPr>
      <w:r>
        <w:rPr>
          <w:rFonts w:ascii="Microsoft YaHei" w:hAnsi="Microsoft YaHei" w:eastAsia="Microsoft YaHei"/>
          <w:color w:val="1F2933"/>
          <w:sz w:val="21"/>
        </w:rPr>
        <w:t>仿真步长10秒，蒙特卡洛50次。重点设置三类交链场景：①卫星引导-导弹打击交链（吉林一号定位→东风-17打击→无侦-8毁伤评估）；②预警机引导-战机拦截交链（空警-500A目指→歼-20发射霹雳-15C）；③无人机侦察-舰艇打击交链（无侦-8定位→055舰鹰击-21打击）。通过数据链日志统计各环节时延、识别准确率和目指精度，重点检验杀伤链在目标机动、传感器切换、链路干扰条件下的自适应重构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</w:r>
    <w:r>
      <w:rPr>
        <w:rFonts w:ascii="Microsoft YaHei" w:hAnsi="Microsoft YaHe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67085"/>
        <w:sz w:val="17"/>
      </w:rPr>
      <w:t>场景二：情报链杀伤链铰链能力检验仿真场景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场景二：情报链杀伤链铰链能力检验仿真场景</dc:title>
  <dc:subject>台岛以东海域海空交战战场透视作战仿真场景设计文档</dc:subject>
  <dc:creator/>
  <cp:keywords/>
  <dc:description>依据用户提供文本整理成册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