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520"/>
      </w:pPr>
    </w:p>
    <w:p>
      <w:pPr>
        <w:spacing w:after="320"/>
        <w:jc w:val="center"/>
      </w:pPr>
      <w:r>
        <w:rPr>
          <w:rFonts w:ascii="Microsoft YaHei" w:hAnsi="Microsoft YaHei" w:eastAsia="Microsoft YaHei"/>
          <w:b/>
          <w:color w:val="2E74B5"/>
          <w:sz w:val="22"/>
        </w:rPr>
        <w:t>仿真场景设计 · 场景3</w:t>
      </w:r>
    </w:p>
    <w:p>
      <w:pPr>
        <w:pStyle w:val="Title"/>
        <w:keepNext/>
        <w:jc w:val="center"/>
      </w:pPr>
      <w:r>
        <w:t>台岛以东海域海空交战战场透视作战仿真场景设计文档</w:t>
      </w:r>
    </w:p>
    <w:p>
      <w:pPr>
        <w:pStyle w:val="Subtitle"/>
        <w:spacing w:after="480"/>
        <w:jc w:val="center"/>
      </w:pPr>
      <w:r>
        <w:t>场景三：手段装备体系贡献率仿真场景</w:t>
      </w:r>
    </w:p>
    <w:p>
      <w:pPr>
        <w:spacing w:after="400"/>
        <w:jc w:val="center"/>
      </w:pPr>
      <w:r>
        <w:rPr>
          <w:rFonts w:ascii="Microsoft YaHei" w:hAnsi="Microsoft YaHei" w:eastAsia="Microsoft YaHei"/>
          <w:color w:val="D9E0E8"/>
          <w:sz w:val="18"/>
        </w:rPr>
        <w:t>━━━━━━━━━━━━━━━━━━━━</w:t>
      </w:r>
    </w:p>
    <w:p>
      <w:pPr>
        <w:spacing w:after="880"/>
        <w:jc w:val="center"/>
      </w:pPr>
      <w:r>
        <w:rPr>
          <w:rFonts w:ascii="Microsoft YaHei" w:hAnsi="Microsoft YaHei" w:eastAsia="Microsoft YaHei"/>
          <w:b/>
          <w:color w:val="17365D"/>
          <w:sz w:val="21"/>
        </w:rPr>
        <w:t xml:space="preserve">评估定位  </w:t>
      </w:r>
      <w:r>
        <w:rPr>
          <w:rFonts w:ascii="Microsoft YaHei" w:hAnsi="Microsoft YaHei" w:eastAsia="Microsoft YaHei"/>
          <w:color w:val="667085"/>
          <w:sz w:val="21"/>
        </w:rPr>
        <w:t>体系贡献率与费效比优化 / 每种装备值不值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67085"/>
          <w:sz w:val="19"/>
        </w:rPr>
        <w:t>统一时空基准：2026年3月15日19:00 UTC起</w:t>
      </w:r>
    </w:p>
    <w:p>
      <w:r>
        <w:br w:type="page"/>
      </w:r>
    </w:p>
    <w:p>
      <w:pPr>
        <w:pStyle w:val="Heading1"/>
        <w:spacing w:before="0"/>
      </w:pPr>
      <w:r>
        <w:t>文档说明</w:t>
      </w:r>
    </w:p>
    <w:p>
      <w:pPr>
        <w:spacing w:after="240"/>
      </w:pPr>
      <w:r>
        <w:t>以下基于参考测试场景文档格式，结合台岛以东海域海空交战背景，从cmo-db.com装备数据库选取实装或模型化装备，设计三个仿真场景文档。三个场景共用统一的战场时空基准（2026年3月15日19:00 UTC起，持续约30小时），分别对应"战场区域透视能力仿真评估""情报链杀伤链铰链能力检验评估""手段装备体系贡献率评估"三个评估科目。</w:t>
      </w:r>
    </w:p>
    <w:p>
      <w:pPr>
        <w:pStyle w:val="Heading1"/>
      </w:pPr>
      <w:r>
        <w:t>一、想定背景</w:t>
      </w:r>
    </w:p>
    <w:p>
      <w:pPr>
        <w:widowControl/>
        <w:ind w:firstLine="446"/>
      </w:pPr>
      <w:r>
        <w:rPr>
          <w:rFonts w:ascii="Microsoft YaHei" w:hAnsi="Microsoft YaHei" w:eastAsia="Microsoft YaHei"/>
          <w:color w:val="1F2933"/>
          <w:sz w:val="21"/>
        </w:rPr>
        <w:t>针对侦察感知体系手段装备使命任务及运用特点，设计典型作战运用场景，通过"有无对比""不同类型装备比量"的对比实验方法，评估各手段装备（低轨卫星星座、临近空间平台、隐身长航时无人机、预警机、侦察船、侦察弹）对体系能力的贡献率，发现指标间的相互关系和单项装备指标变化对体系能力的影响曲线。</w:t>
      </w:r>
    </w:p>
    <w:p>
      <w:pPr>
        <w:pStyle w:val="Heading1"/>
      </w:pPr>
      <w:r>
        <w:t>二、想定信息</w:t>
      </w:r>
    </w:p>
    <w:p>
      <w:pPr>
        <w:pStyle w:val="Heading3"/>
        <w:keepNext/>
      </w:pPr>
      <w:r>
        <w:t>想定基本信息表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1755"/>
        <w:gridCol w:w="7605"/>
      </w:tblGrid>
      <w:tr>
        <w:trPr>
          <w:trHeight w:hRule="atLeast"/>
          <w:tblHeader w:val="true"/>
        </w:trPr>
        <w:tc>
          <w:tcPr>
            <w:tcW w:type="dxa" w:w="17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想定指标</w:t>
            </w:r>
          </w:p>
        </w:tc>
        <w:tc>
          <w:tcPr>
            <w:tcW w:type="dxa" w:w="76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指标信息</w:t>
            </w:r>
          </w:p>
        </w:tc>
      </w:tr>
      <w:tr>
        <w:trPr>
          <w:trHeight w:hRule="atLeast"/>
        </w:trPr>
        <w:tc>
          <w:tcPr>
            <w:tcW w:type="dxa" w:w="17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想定标题</w:t>
            </w:r>
          </w:p>
        </w:tc>
        <w:tc>
          <w:tcPr>
            <w:tcW w:type="dxa" w:w="76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侦察感知手段装备体系贡献率评估基本想定</w:t>
            </w:r>
          </w:p>
        </w:tc>
      </w:tr>
      <w:tr>
        <w:trPr>
          <w:trHeight w:hRule="atLeast"/>
        </w:trPr>
        <w:tc>
          <w:tcPr>
            <w:tcW w:type="dxa" w:w="17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想定推演方</w:t>
            </w:r>
          </w:p>
        </w:tc>
        <w:tc>
          <w:tcPr>
            <w:tcW w:type="dxa" w:w="76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红方（中国大陆）、蓝方（美盟联军）</w:t>
            </w:r>
          </w:p>
        </w:tc>
      </w:tr>
      <w:tr>
        <w:trPr>
          <w:trHeight w:hRule="atLeast"/>
        </w:trPr>
        <w:tc>
          <w:tcPr>
            <w:tcW w:type="dxa" w:w="17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发生地点</w:t>
            </w:r>
          </w:p>
        </w:tc>
        <w:tc>
          <w:tcPr>
            <w:tcW w:type="dxa" w:w="76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台岛以东海域（N23°～N27°、E122°～E128°）</w:t>
            </w:r>
          </w:p>
        </w:tc>
      </w:tr>
      <w:tr>
        <w:trPr>
          <w:trHeight w:hRule="atLeast"/>
        </w:trPr>
        <w:tc>
          <w:tcPr>
            <w:tcW w:type="dxa" w:w="17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想定时间</w:t>
            </w:r>
          </w:p>
        </w:tc>
        <w:tc>
          <w:tcPr>
            <w:tcW w:type="dxa" w:w="76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想定开始时间UTC：2026.03.15 19:00:00</w:t>
            </w:r>
          </w:p>
        </w:tc>
      </w:tr>
      <w:tr>
        <w:trPr>
          <w:trHeight w:hRule="atLeast"/>
        </w:trPr>
        <w:tc>
          <w:tcPr>
            <w:tcW w:type="dxa" w:w="17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想定持续时间</w:t>
            </w:r>
          </w:p>
        </w:tc>
        <w:tc>
          <w:tcPr>
            <w:tcW w:type="dxa" w:w="76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6小时30分钟（单次实验）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想定气象条件表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4255"/>
        <w:gridCol w:w="5105"/>
      </w:tblGrid>
      <w:tr>
        <w:trPr>
          <w:trHeight w:hRule="atLeast"/>
          <w:tblHeader w:val="true"/>
        </w:trPr>
        <w:tc>
          <w:tcPr>
            <w:tcW w:type="dxa" w:w="42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气象指标</w:t>
            </w:r>
          </w:p>
        </w:tc>
        <w:tc>
          <w:tcPr>
            <w:tcW w:type="dxa" w:w="51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指标信息</w:t>
            </w:r>
          </w:p>
        </w:tc>
      </w:tr>
      <w:tr>
        <w:trPr>
          <w:trHeight w:hRule="atLeast"/>
        </w:trPr>
        <w:tc>
          <w:tcPr>
            <w:tcW w:type="dxa" w:w="42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地区</w:t>
            </w:r>
          </w:p>
        </w:tc>
        <w:tc>
          <w:tcPr>
            <w:tcW w:type="dxa" w:w="51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台岛以东海域</w:t>
            </w:r>
          </w:p>
        </w:tc>
      </w:tr>
      <w:tr>
        <w:trPr>
          <w:trHeight w:hRule="atLeast"/>
        </w:trPr>
        <w:tc>
          <w:tcPr>
            <w:tcW w:type="dxa" w:w="42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平均气温</w:t>
            </w:r>
          </w:p>
        </w:tc>
        <w:tc>
          <w:tcPr>
            <w:tcW w:type="dxa" w:w="51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27°C</w:t>
            </w:r>
          </w:p>
        </w:tc>
      </w:tr>
      <w:tr>
        <w:trPr>
          <w:trHeight w:hRule="atLeast"/>
        </w:trPr>
        <w:tc>
          <w:tcPr>
            <w:tcW w:type="dxa" w:w="42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降雨量</w:t>
            </w:r>
          </w:p>
        </w:tc>
        <w:tc>
          <w:tcPr>
            <w:tcW w:type="dxa" w:w="51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小雨</w:t>
            </w:r>
          </w:p>
        </w:tc>
      </w:tr>
      <w:tr>
        <w:trPr>
          <w:trHeight w:hRule="atLeast"/>
        </w:trPr>
        <w:tc>
          <w:tcPr>
            <w:tcW w:type="dxa" w:w="42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云量</w:t>
            </w:r>
          </w:p>
        </w:tc>
        <w:tc>
          <w:tcPr>
            <w:tcW w:type="dxa" w:w="51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多云</w:t>
            </w:r>
          </w:p>
        </w:tc>
      </w:tr>
      <w:tr>
        <w:trPr>
          <w:trHeight w:hRule="atLeast"/>
        </w:trPr>
        <w:tc>
          <w:tcPr>
            <w:tcW w:type="dxa" w:w="42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风力/海况</w:t>
            </w:r>
          </w:p>
        </w:tc>
        <w:tc>
          <w:tcPr>
            <w:tcW w:type="dxa" w:w="51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2级海况</w:t>
            </w:r>
          </w:p>
        </w:tc>
      </w:tr>
    </w:tbl>
    <w:p>
      <w:pPr>
        <w:spacing w:after="20"/>
      </w:pPr>
    </w:p>
    <w:p>
      <w:pPr>
        <w:pStyle w:val="Heading1"/>
      </w:pPr>
      <w:r>
        <w:t>三、作战企图</w:t>
      </w:r>
    </w:p>
    <w:p>
      <w:pPr>
        <w:widowControl/>
        <w:ind w:firstLine="446"/>
      </w:pPr>
      <w:r>
        <w:rPr>
          <w:rFonts w:ascii="Microsoft YaHei" w:hAnsi="Microsoft YaHei" w:eastAsia="Microsoft YaHei"/>
          <w:b/>
          <w:color w:val="1F2933"/>
          <w:sz w:val="21"/>
        </w:rPr>
        <w:t>（一）红方企图：</w:t>
      </w:r>
      <w:r>
        <w:rPr>
          <w:rFonts w:ascii="Microsoft YaHei" w:hAnsi="Microsoft YaHei" w:eastAsia="Microsoft YaHei"/>
          <w:color w:val="1F2933"/>
          <w:sz w:val="21"/>
        </w:rPr>
        <w:t>构建包含全部侦察手段的基准想定（想定0），然后通过逐一移除或替换某一侦察手段，形成一组对比想定（想定1-7），在相同战场条件、相同蓝方威胁、相同任务剖面下开展仿真推演，计算各装备对"区域透视能力""情报链路效能""目标打击效果"三层体系指标的边际贡献。</w:t>
      </w:r>
    </w:p>
    <w:p>
      <w:pPr>
        <w:widowControl/>
        <w:ind w:firstLine="446"/>
      </w:pPr>
      <w:r>
        <w:rPr>
          <w:rFonts w:ascii="Microsoft YaHei" w:hAnsi="Microsoft YaHei" w:eastAsia="Microsoft YaHei"/>
          <w:b/>
          <w:color w:val="1F2933"/>
          <w:sz w:val="21"/>
        </w:rPr>
        <w:t>（二）蓝方企图：</w:t>
      </w:r>
      <w:r>
        <w:rPr>
          <w:rFonts w:ascii="Microsoft YaHei" w:hAnsi="Microsoft YaHei" w:eastAsia="Microsoft YaHei"/>
          <w:color w:val="1F2933"/>
          <w:sz w:val="21"/>
        </w:rPr>
        <w:t>与场景一、二一致，以隐身飞机、静默舰艇、多层防空构成综合威胁，为红方侦察体系提供统一对抗背景。</w:t>
      </w:r>
    </w:p>
    <w:p>
      <w:pPr>
        <w:pStyle w:val="Heading1"/>
      </w:pPr>
      <w:r>
        <w:t>四、作战编成</w:t>
      </w:r>
    </w:p>
    <w:p>
      <w:pPr>
        <w:pStyle w:val="Heading2"/>
      </w:pPr>
      <w:r>
        <w:t>（一）基准想定（想定0）红方全手段编成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700"/>
        <w:gridCol w:w="1361"/>
        <w:gridCol w:w="2874"/>
        <w:gridCol w:w="2553"/>
        <w:gridCol w:w="1872"/>
      </w:tblGrid>
      <w:tr>
        <w:trPr>
          <w:trHeight w:hRule="atLeast"/>
          <w:tblHeader w:val="true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序号</w:t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手段装备</w:t>
            </w:r>
          </w:p>
        </w:tc>
        <w:tc>
          <w:tcPr>
            <w:tcW w:type="dxa" w:w="28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型号/数量</w:t>
            </w:r>
          </w:p>
        </w:tc>
        <w:tc>
          <w:tcPr>
            <w:tcW w:type="dxa" w:w="25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关键参数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核心使命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低轨光学星座</w:t>
            </w:r>
          </w:p>
        </w:tc>
        <w:tc>
          <w:tcPr>
            <w:tcW w:type="dxa" w:w="28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吉林一号×6</w:t>
            </w:r>
          </w:p>
        </w:tc>
        <w:tc>
          <w:tcPr>
            <w:tcW w:type="dxa" w:w="25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650km轨道，0.5m分辨率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广域普查、动态监视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2</w:t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SAR侦察卫星</w:t>
            </w:r>
          </w:p>
        </w:tc>
        <w:tc>
          <w:tcPr>
            <w:tcW w:type="dxa" w:w="28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尖兵25C×1</w:t>
            </w:r>
          </w:p>
        </w:tc>
        <w:tc>
          <w:tcPr>
            <w:tcW w:type="dxa" w:w="25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全天候SAR成像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云下目标探测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3</w:t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临近空间平台</w:t>
            </w:r>
          </w:p>
        </w:tc>
        <w:tc>
          <w:tcPr>
            <w:tcW w:type="dxa" w:w="28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无侦-8×2</w:t>
            </w:r>
          </w:p>
        </w:tc>
        <w:tc>
          <w:tcPr>
            <w:tcW w:type="dxa" w:w="25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高度30-40km，速度4马赫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高速突防、高分辨率成像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隐身长航时无人机</w:t>
            </w:r>
          </w:p>
        </w:tc>
        <w:tc>
          <w:tcPr>
            <w:tcW w:type="dxa" w:w="28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攻击-11侦察型×4、无侦-7×2</w:t>
            </w:r>
          </w:p>
        </w:tc>
        <w:tc>
          <w:tcPr>
            <w:tcW w:type="dxa" w:w="25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隐身穿透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持续抵近监视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预警指挥机</w:t>
            </w:r>
          </w:p>
        </w:tc>
        <w:tc>
          <w:tcPr>
            <w:tcW w:type="dxa" w:w="28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空警-500A×3</w:t>
            </w:r>
          </w:p>
        </w:tc>
        <w:tc>
          <w:tcPr>
            <w:tcW w:type="dxa" w:w="25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探测470km，跟踪100目标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空域指挥、空情探测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6</w:t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电子侦察船</w:t>
            </w:r>
          </w:p>
        </w:tc>
        <w:tc>
          <w:tcPr>
            <w:tcW w:type="dxa" w:w="28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815A型×2</w:t>
            </w:r>
          </w:p>
        </w:tc>
        <w:tc>
          <w:tcPr>
            <w:tcW w:type="dxa" w:w="25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6000吨级，ESM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海上机动电子侦察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7</w:t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侦察弹</w:t>
            </w:r>
          </w:p>
        </w:tc>
        <w:tc>
          <w:tcPr>
            <w:tcW w:type="dxa" w:w="28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东风-15C侦察弹构型×4</w:t>
            </w:r>
          </w:p>
        </w:tc>
        <w:tc>
          <w:tcPr>
            <w:tcW w:type="dxa" w:w="25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弹道再入，落区侦察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快速目标区覆盖</w:t>
            </w:r>
          </w:p>
        </w:tc>
      </w:tr>
    </w:tbl>
    <w:p>
      <w:pPr>
        <w:spacing w:after="20"/>
      </w:pPr>
    </w:p>
    <w:p>
      <w:pPr>
        <w:pStyle w:val="Heading2"/>
      </w:pPr>
      <w:r>
        <w:t>（二）对比想定组设计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1040"/>
        <w:gridCol w:w="2080"/>
        <w:gridCol w:w="4420"/>
        <w:gridCol w:w="1820"/>
      </w:tblGrid>
      <w:tr>
        <w:trPr>
          <w:trHeight w:hRule="atLeast"/>
          <w:tblHeader w:val="true"/>
        </w:trPr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想定编号</w:t>
            </w:r>
          </w:p>
        </w:tc>
        <w:tc>
          <w:tcPr>
            <w:tcW w:type="dxa" w:w="2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移除/替换装备</w:t>
            </w:r>
          </w:p>
        </w:tc>
        <w:tc>
          <w:tcPr>
            <w:tcW w:type="dxa" w:w="44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剩余装备组合</w:t>
            </w:r>
          </w:p>
        </w:tc>
        <w:tc>
          <w:tcPr>
            <w:tcW w:type="dxa" w:w="1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实验目的</w:t>
            </w:r>
          </w:p>
        </w:tc>
      </w:tr>
      <w:tr>
        <w:trPr>
          <w:trHeight w:hRule="atLeast"/>
        </w:trPr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想定1</w:t>
            </w:r>
          </w:p>
        </w:tc>
        <w:tc>
          <w:tcPr>
            <w:tcW w:type="dxa" w:w="2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移除低轨星座</w:t>
            </w:r>
          </w:p>
        </w:tc>
        <w:tc>
          <w:tcPr>
            <w:tcW w:type="dxa" w:w="44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无侦-8+预警机+侦察船+侦察弹</w:t>
            </w:r>
          </w:p>
        </w:tc>
        <w:tc>
          <w:tcPr>
            <w:tcW w:type="dxa" w:w="1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天基贡献率</w:t>
            </w:r>
          </w:p>
        </w:tc>
      </w:tr>
      <w:tr>
        <w:trPr>
          <w:trHeight w:hRule="atLeast"/>
        </w:trPr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想定2</w:t>
            </w:r>
          </w:p>
        </w:tc>
        <w:tc>
          <w:tcPr>
            <w:tcW w:type="dxa" w:w="2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移除临近空间平台</w:t>
            </w:r>
          </w:p>
        </w:tc>
        <w:tc>
          <w:tcPr>
            <w:tcW w:type="dxa" w:w="44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星座+无人机+预警机+侦察船</w:t>
            </w:r>
          </w:p>
        </w:tc>
        <w:tc>
          <w:tcPr>
            <w:tcW w:type="dxa" w:w="1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临空贡献率</w:t>
            </w:r>
          </w:p>
        </w:tc>
      </w:tr>
      <w:tr>
        <w:trPr>
          <w:trHeight w:hRule="atLeast"/>
        </w:trPr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想定3</w:t>
            </w:r>
          </w:p>
        </w:tc>
        <w:tc>
          <w:tcPr>
            <w:tcW w:type="dxa" w:w="2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移除预警机</w:t>
            </w:r>
          </w:p>
        </w:tc>
        <w:tc>
          <w:tcPr>
            <w:tcW w:type="dxa" w:w="44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星座+临空+无人机+侦察船</w:t>
            </w:r>
          </w:p>
        </w:tc>
        <w:tc>
          <w:tcPr>
            <w:tcW w:type="dxa" w:w="1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空基指挥贡献率</w:t>
            </w:r>
          </w:p>
        </w:tc>
      </w:tr>
      <w:tr>
        <w:trPr>
          <w:trHeight w:hRule="atLeast"/>
        </w:trPr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想定4</w:t>
            </w:r>
          </w:p>
        </w:tc>
        <w:tc>
          <w:tcPr>
            <w:tcW w:type="dxa" w:w="2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移除侦察船</w:t>
            </w:r>
          </w:p>
        </w:tc>
        <w:tc>
          <w:tcPr>
            <w:tcW w:type="dxa" w:w="44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星座+临空+无人机+预警机</w:t>
            </w:r>
          </w:p>
        </w:tc>
        <w:tc>
          <w:tcPr>
            <w:tcW w:type="dxa" w:w="1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海基贡献率</w:t>
            </w:r>
          </w:p>
        </w:tc>
      </w:tr>
      <w:tr>
        <w:trPr>
          <w:trHeight w:hRule="atLeast"/>
        </w:trPr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想定5</w:t>
            </w:r>
          </w:p>
        </w:tc>
        <w:tc>
          <w:tcPr>
            <w:tcW w:type="dxa" w:w="2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移除侦察弹</w:t>
            </w:r>
          </w:p>
        </w:tc>
        <w:tc>
          <w:tcPr>
            <w:tcW w:type="dxa" w:w="44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星座+临空+无人机+预警机+侦察船</w:t>
            </w:r>
          </w:p>
        </w:tc>
        <w:tc>
          <w:tcPr>
            <w:tcW w:type="dxa" w:w="1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弹载侦察贡献率</w:t>
            </w:r>
          </w:p>
        </w:tc>
      </w:tr>
      <w:tr>
        <w:trPr>
          <w:trHeight w:hRule="atLeast"/>
        </w:trPr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想定6</w:t>
            </w:r>
          </w:p>
        </w:tc>
        <w:tc>
          <w:tcPr>
            <w:tcW w:type="dxa" w:w="2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单一卫星体系</w:t>
            </w:r>
          </w:p>
        </w:tc>
        <w:tc>
          <w:tcPr>
            <w:tcW w:type="dxa" w:w="44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仅吉林一号+尖兵</w:t>
            </w:r>
          </w:p>
        </w:tc>
        <w:tc>
          <w:tcPr>
            <w:tcW w:type="dxa" w:w="1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天基独立效能</w:t>
            </w:r>
          </w:p>
        </w:tc>
      </w:tr>
      <w:tr>
        <w:trPr>
          <w:trHeight w:hRule="atLeast"/>
        </w:trPr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想定7</w:t>
            </w:r>
          </w:p>
        </w:tc>
        <w:tc>
          <w:tcPr>
            <w:tcW w:type="dxa" w:w="2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单一空基体系</w:t>
            </w:r>
          </w:p>
        </w:tc>
        <w:tc>
          <w:tcPr>
            <w:tcW w:type="dxa" w:w="44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仅预警机+无人机</w:t>
            </w:r>
          </w:p>
        </w:tc>
        <w:tc>
          <w:tcPr>
            <w:tcW w:type="dxa" w:w="1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空基独立效能</w:t>
            </w:r>
          </w:p>
        </w:tc>
      </w:tr>
    </w:tbl>
    <w:p>
      <w:pPr>
        <w:spacing w:after="20"/>
      </w:pPr>
    </w:p>
    <w:p>
      <w:pPr>
        <w:pStyle w:val="Heading2"/>
      </w:pPr>
      <w:r>
        <w:t>（三）蓝方力量编成</w:t>
      </w:r>
    </w:p>
    <w:p>
      <w:pPr>
        <w:widowControl/>
        <w:ind w:firstLine="446"/>
      </w:pPr>
      <w:r>
        <w:rPr>
          <w:rFonts w:ascii="Microsoft YaHei" w:hAnsi="Microsoft YaHei" w:eastAsia="Microsoft YaHei"/>
          <w:color w:val="1F2933"/>
          <w:sz w:val="21"/>
        </w:rPr>
        <w:t>蓝方编成与场景一、场景二保持一致，包括B-2A隐身轰炸机2架、F-35B8架、阿利·伯克驱逐舰2艘、爱国者防空连1个和F-16V战机24架，确保各对比想定面临相同威胁条件。</w:t>
      </w:r>
    </w:p>
    <w:p>
      <w:pPr>
        <w:pStyle w:val="Heading1"/>
      </w:pPr>
      <w:r>
        <w:t>五、任务编成</w:t>
      </w:r>
    </w:p>
    <w:p>
      <w:pPr>
        <w:widowControl/>
        <w:ind w:firstLine="446"/>
      </w:pPr>
      <w:r>
        <w:rPr>
          <w:rFonts w:ascii="Microsoft YaHei" w:hAnsi="Microsoft YaHei" w:eastAsia="Microsoft YaHei"/>
          <w:color w:val="1F2933"/>
          <w:sz w:val="21"/>
        </w:rPr>
        <w:t>各对比想定统一执行以下任务剖面：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1012"/>
        <w:gridCol w:w="2024"/>
        <w:gridCol w:w="1012"/>
        <w:gridCol w:w="2530"/>
        <w:gridCol w:w="2782"/>
      </w:tblGrid>
      <w:tr>
        <w:trPr>
          <w:trHeight w:hRule="atLeast"/>
          <w:tblHeader w:val="true"/>
        </w:trPr>
        <w:tc>
          <w:tcPr>
            <w:tcW w:type="dxa" w:w="10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序号</w:t>
            </w:r>
          </w:p>
        </w:tc>
        <w:tc>
          <w:tcPr>
            <w:tcW w:type="dxa" w:w="2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任务名称</w:t>
            </w:r>
          </w:p>
        </w:tc>
        <w:tc>
          <w:tcPr>
            <w:tcW w:type="dxa" w:w="10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任务类型</w:t>
            </w:r>
          </w:p>
        </w:tc>
        <w:tc>
          <w:tcPr>
            <w:tcW w:type="dxa" w:w="25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执行单位</w:t>
            </w:r>
          </w:p>
        </w:tc>
        <w:tc>
          <w:tcPr>
            <w:tcW w:type="dxa" w:w="27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任务时间(UTC)</w:t>
            </w:r>
          </w:p>
        </w:tc>
      </w:tr>
      <w:tr>
        <w:trPr>
          <w:trHeight w:hRule="atLeast"/>
        </w:trPr>
        <w:tc>
          <w:tcPr>
            <w:tcW w:type="dxa" w:w="10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1</w:t>
            </w:r>
          </w:p>
        </w:tc>
        <w:tc>
          <w:tcPr>
            <w:tcW w:type="dxa" w:w="2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区域态势构建任务</w:t>
            </w:r>
          </w:p>
        </w:tc>
        <w:tc>
          <w:tcPr>
            <w:tcW w:type="dxa" w:w="10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侦察</w:t>
            </w:r>
          </w:p>
        </w:tc>
        <w:tc>
          <w:tcPr>
            <w:tcW w:type="dxa" w:w="25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按想定组合</w:t>
            </w:r>
          </w:p>
        </w:tc>
        <w:tc>
          <w:tcPr>
            <w:tcW w:type="dxa" w:w="27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19:00-21:00</w:t>
            </w:r>
          </w:p>
        </w:tc>
      </w:tr>
      <w:tr>
        <w:trPr>
          <w:trHeight w:hRule="atLeast"/>
        </w:trPr>
        <w:tc>
          <w:tcPr>
            <w:tcW w:type="dxa" w:w="10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2</w:t>
            </w:r>
          </w:p>
        </w:tc>
        <w:tc>
          <w:tcPr>
            <w:tcW w:type="dxa" w:w="2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静默目标搜索任务</w:t>
            </w:r>
          </w:p>
        </w:tc>
        <w:tc>
          <w:tcPr>
            <w:tcW w:type="dxa" w:w="10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侦察</w:t>
            </w:r>
          </w:p>
        </w:tc>
        <w:tc>
          <w:tcPr>
            <w:tcW w:type="dxa" w:w="25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按想定组合</w:t>
            </w:r>
          </w:p>
        </w:tc>
        <w:tc>
          <w:tcPr>
            <w:tcW w:type="dxa" w:w="27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20:00-23:00</w:t>
            </w:r>
          </w:p>
        </w:tc>
      </w:tr>
      <w:tr>
        <w:trPr>
          <w:trHeight w:hRule="atLeast"/>
        </w:trPr>
        <w:tc>
          <w:tcPr>
            <w:tcW w:type="dxa" w:w="10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3</w:t>
            </w:r>
          </w:p>
        </w:tc>
        <w:tc>
          <w:tcPr>
            <w:tcW w:type="dxa" w:w="2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目标识别定位任务</w:t>
            </w:r>
          </w:p>
        </w:tc>
        <w:tc>
          <w:tcPr>
            <w:tcW w:type="dxa" w:w="10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侦察</w:t>
            </w:r>
          </w:p>
        </w:tc>
        <w:tc>
          <w:tcPr>
            <w:tcW w:type="dxa" w:w="25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按想定组合</w:t>
            </w:r>
          </w:p>
        </w:tc>
        <w:tc>
          <w:tcPr>
            <w:tcW w:type="dxa" w:w="27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21:00-01:00</w:t>
            </w:r>
          </w:p>
        </w:tc>
      </w:tr>
      <w:tr>
        <w:trPr>
          <w:trHeight w:hRule="atLeast"/>
        </w:trPr>
        <w:tc>
          <w:tcPr>
            <w:tcW w:type="dxa" w:w="10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4</w:t>
            </w:r>
          </w:p>
        </w:tc>
        <w:tc>
          <w:tcPr>
            <w:tcW w:type="dxa" w:w="2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目指保障打击任务</w:t>
            </w:r>
          </w:p>
        </w:tc>
        <w:tc>
          <w:tcPr>
            <w:tcW w:type="dxa" w:w="10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打击</w:t>
            </w:r>
          </w:p>
        </w:tc>
        <w:tc>
          <w:tcPr>
            <w:tcW w:type="dxa" w:w="25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歼-20+东风-17</w:t>
            </w:r>
          </w:p>
        </w:tc>
        <w:tc>
          <w:tcPr>
            <w:tcW w:type="dxa" w:w="27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22:00-02:00</w:t>
            </w:r>
          </w:p>
        </w:tc>
      </w:tr>
      <w:tr>
        <w:trPr>
          <w:trHeight w:hRule="atLeast"/>
        </w:trPr>
        <w:tc>
          <w:tcPr>
            <w:tcW w:type="dxa" w:w="10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5</w:t>
            </w:r>
          </w:p>
        </w:tc>
        <w:tc>
          <w:tcPr>
            <w:tcW w:type="dxa" w:w="2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毁伤评估任务</w:t>
            </w:r>
          </w:p>
        </w:tc>
        <w:tc>
          <w:tcPr>
            <w:tcW w:type="dxa" w:w="10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侦察</w:t>
            </w:r>
          </w:p>
        </w:tc>
        <w:tc>
          <w:tcPr>
            <w:tcW w:type="dxa" w:w="25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无侦-8/无人机</w:t>
            </w:r>
          </w:p>
        </w:tc>
        <w:tc>
          <w:tcPr>
            <w:tcW w:type="dxa" w:w="27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23:00-03:00</w:t>
            </w:r>
          </w:p>
        </w:tc>
      </w:tr>
    </w:tbl>
    <w:p>
      <w:pPr>
        <w:spacing w:after="20"/>
      </w:pPr>
    </w:p>
    <w:p>
      <w:pPr>
        <w:pStyle w:val="Heading1"/>
      </w:pPr>
      <w:r>
        <w:t>六、评估指标体系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1671"/>
        <w:gridCol w:w="2674"/>
        <w:gridCol w:w="1337"/>
        <w:gridCol w:w="3678"/>
      </w:tblGrid>
      <w:tr>
        <w:trPr>
          <w:trHeight w:hRule="atLeast"/>
          <w:tblHeader w:val="true"/>
        </w:trPr>
        <w:tc>
          <w:tcPr>
            <w:tcW w:type="dxa" w:w="1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指标层级</w:t>
            </w:r>
          </w:p>
        </w:tc>
        <w:tc>
          <w:tcPr>
            <w:tcW w:type="dxa" w:w="26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核心指标</w:t>
            </w:r>
          </w:p>
        </w:tc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权重系数</w:t>
            </w:r>
          </w:p>
        </w:tc>
        <w:tc>
          <w:tcPr>
            <w:tcW w:type="dxa" w:w="36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度量方式</w:t>
            </w:r>
          </w:p>
        </w:tc>
      </w:tr>
      <w:tr>
        <w:trPr>
          <w:trHeight w:hRule="atLeast"/>
        </w:trPr>
        <w:tc>
          <w:tcPr>
            <w:tcW w:type="dxa" w:w="1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区域透视层</w:t>
            </w:r>
          </w:p>
        </w:tc>
        <w:tc>
          <w:tcPr>
            <w:tcW w:type="dxa" w:w="26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目标发现概率Pd</w:t>
            </w:r>
          </w:p>
        </w:tc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0.25</w:t>
            </w:r>
          </w:p>
        </w:tc>
        <w:tc>
          <w:tcPr>
            <w:tcW w:type="dxa" w:w="36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分区域统计</w:t>
            </w:r>
          </w:p>
        </w:tc>
      </w:tr>
      <w:tr>
        <w:trPr>
          <w:trHeight w:hRule="atLeast"/>
        </w:trPr>
        <w:tc>
          <w:tcPr>
            <w:tcW w:type="dxa" w:w="1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区域透视层</w:t>
            </w:r>
          </w:p>
        </w:tc>
        <w:tc>
          <w:tcPr>
            <w:tcW w:type="dxa" w:w="26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预警时间</w:t>
            </w:r>
          </w:p>
        </w:tc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0.15</w:t>
            </w:r>
          </w:p>
        </w:tc>
        <w:tc>
          <w:tcPr>
            <w:tcW w:type="dxa" w:w="36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首次发现至临空时间</w:t>
            </w:r>
          </w:p>
        </w:tc>
      </w:tr>
      <w:tr>
        <w:trPr>
          <w:trHeight w:hRule="atLeast"/>
        </w:trPr>
        <w:tc>
          <w:tcPr>
            <w:tcW w:type="dxa" w:w="1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区域透视层</w:t>
            </w:r>
          </w:p>
        </w:tc>
        <w:tc>
          <w:tcPr>
            <w:tcW w:type="dxa" w:w="26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态势更新率</w:t>
            </w:r>
          </w:p>
        </w:tc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0.10</w:t>
            </w:r>
          </w:p>
        </w:tc>
        <w:tc>
          <w:tcPr>
            <w:tcW w:type="dxa" w:w="36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态势刷新周期</w:t>
            </w:r>
          </w:p>
        </w:tc>
      </w:tr>
      <w:tr>
        <w:trPr>
          <w:trHeight w:hRule="atLeast"/>
        </w:trPr>
        <w:tc>
          <w:tcPr>
            <w:tcW w:type="dxa" w:w="1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情报链路层</w:t>
            </w:r>
          </w:p>
        </w:tc>
        <w:tc>
          <w:tcPr>
            <w:tcW w:type="dxa" w:w="26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协同定位精度</w:t>
            </w:r>
          </w:p>
        </w:tc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0.15</w:t>
            </w:r>
          </w:p>
        </w:tc>
        <w:tc>
          <w:tcPr>
            <w:tcW w:type="dxa" w:w="36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融合CEP</w:t>
            </w:r>
          </w:p>
        </w:tc>
      </w:tr>
      <w:tr>
        <w:trPr>
          <w:trHeight w:hRule="atLeast"/>
        </w:trPr>
        <w:tc>
          <w:tcPr>
            <w:tcW w:type="dxa" w:w="1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情报链路层</w:t>
            </w:r>
          </w:p>
        </w:tc>
        <w:tc>
          <w:tcPr>
            <w:tcW w:type="dxa" w:w="26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情报链路时延</w:t>
            </w:r>
          </w:p>
        </w:tc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0.10</w:t>
            </w:r>
          </w:p>
        </w:tc>
        <w:tc>
          <w:tcPr>
            <w:tcW w:type="dxa" w:w="36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传感器-武器平台时延</w:t>
            </w:r>
          </w:p>
        </w:tc>
      </w:tr>
      <w:tr>
        <w:trPr>
          <w:trHeight w:hRule="atLeast"/>
        </w:trPr>
        <w:tc>
          <w:tcPr>
            <w:tcW w:type="dxa" w:w="1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情报链路层</w:t>
            </w:r>
          </w:p>
        </w:tc>
        <w:tc>
          <w:tcPr>
            <w:tcW w:type="dxa" w:w="26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目指保障率</w:t>
            </w:r>
          </w:p>
        </w:tc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0.10</w:t>
            </w:r>
          </w:p>
        </w:tc>
        <w:tc>
          <w:tcPr>
            <w:tcW w:type="dxa" w:w="36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成功目指次数/需求次数</w:t>
            </w:r>
          </w:p>
        </w:tc>
      </w:tr>
      <w:tr>
        <w:trPr>
          <w:trHeight w:hRule="atLeast"/>
        </w:trPr>
        <w:tc>
          <w:tcPr>
            <w:tcW w:type="dxa" w:w="16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打击效果层</w:t>
            </w:r>
          </w:p>
        </w:tc>
        <w:tc>
          <w:tcPr>
            <w:tcW w:type="dxa" w:w="26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目标毁伤概率</w:t>
            </w:r>
          </w:p>
        </w:tc>
        <w:tc>
          <w:tcPr>
            <w:tcW w:type="dxa" w:w="13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0.15</w:t>
            </w:r>
          </w:p>
        </w:tc>
        <w:tc>
          <w:tcPr>
            <w:tcW w:type="dxa" w:w="36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蒙特卡洛统计</w:t>
            </w:r>
          </w:p>
        </w:tc>
      </w:tr>
    </w:tbl>
    <w:p>
      <w:pPr>
        <w:spacing w:after="20"/>
      </w:pPr>
    </w:p>
    <w:p>
      <w:pPr>
        <w:widowControl/>
        <w:ind w:firstLine="446"/>
      </w:pPr>
      <w:r>
        <w:rPr>
          <w:rFonts w:ascii="Microsoft YaHei" w:hAnsi="Microsoft YaHei" w:eastAsia="Microsoft YaHei"/>
          <w:color w:val="1F2933"/>
          <w:sz w:val="21"/>
        </w:rPr>
        <w:t>体系贡献率计算方法：某装备贡献率 = (E_全体系 - E_移除该装备) / E_全体系 × 100%。同时通过敏感性分析，绘制"装备数量-体系效能""装备性能参数-体系效能"影响曲线（如无侦-8速度从2马赫增至5马赫对发现概率的提升曲线）。</w:t>
      </w:r>
    </w:p>
    <w:p>
      <w:pPr>
        <w:pStyle w:val="Heading1"/>
      </w:pPr>
      <w:r>
        <w:t>七、推演设置</w:t>
      </w:r>
    </w:p>
    <w:p>
      <w:pPr>
        <w:widowControl/>
        <w:ind w:firstLine="446"/>
      </w:pPr>
      <w:r>
        <w:rPr>
          <w:rFonts w:ascii="Microsoft YaHei" w:hAnsi="Microsoft YaHei" w:eastAsia="Microsoft YaHei"/>
          <w:color w:val="1F2933"/>
          <w:sz w:val="21"/>
        </w:rPr>
        <w:t>仿真步长30秒，每个想定蒙特卡洛50次。采用统一蓝方威胁脚本和统一任务剖面，控制变量为红方侦察装备组合。通过统计分析输出各装备的体系贡献率排序、指标间相关性矩阵（如预警时间与发现概率的耦合关系）和单项装备指标变化的敏感性曲线，支撑侦察感知短板识别和情报贯通断点定位。重点分析无侦-8的"双四"指标（高度40km+速度4马赫）对传统防空体系的穿透能力，以及吉林一号星座规模与重访频率对动态目标连续跟踪能力的影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Microsoft YaHei" w:hAnsi="Microsoft YaHei" w:eastAsia="Microsoft YaHei"/>
        <w:color w:val="667085"/>
        <w:sz w:val="18"/>
      </w:rPr>
      <w:t xml:space="preserve">第 </w:t>
    </w:r>
    <w:r>
      <w:rPr>
        <w:rFonts w:ascii="Microsoft YaHei" w:hAnsi="Microsoft YaHei" w:eastAsia="Microsoft YaHe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color w:val="667085"/>
        <w:sz w:val="17"/>
      </w:rPr>
      <w:t>场景三：手段装备体系贡献率仿真场景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2E74B5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场景三：手段装备体系贡献率仿真场景</dc:title>
  <dc:subject>台岛以东海域海空交战战场透视作战仿真场景设计文档</dc:subject>
  <dc:creator/>
  <cp:keywords/>
  <dc:description>依据用户提供文本整理成册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