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jc w:val="center"/>
      </w:pPr>
      <w:r>
        <w:rPr>
          <w:rFonts w:ascii="微软雅黑" w:hAnsi="微软雅黑" w:eastAsia="微软雅黑"/>
          <w:b/>
          <w:i w:val="0"/>
          <w:color w:val="1E3A8A"/>
          <w:sz w:val="44"/>
        </w:rPr>
        <w:t>作战概念研究工作台 &amp; AI研发助手</w:t>
      </w:r>
    </w:p>
    <w:p>
      <w:pPr>
        <w:spacing w:before="0" w:after="360"/>
        <w:jc w:val="center"/>
      </w:pPr>
      <w:r>
        <w:rPr>
          <w:rFonts w:ascii="微软雅黑" w:hAnsi="微软雅黑" w:eastAsia="微软雅黑"/>
          <w:b w:val="0"/>
          <w:i w:val="0"/>
          <w:color w:val="6B7280"/>
          <w:sz w:val="22"/>
        </w:rPr>
        <w:t>全链路功能说明书 (V2.5 流量监控与多端调度旗舰版)</w:t>
      </w:r>
    </w:p>
    <w:tbl>
      <w:tblPr>
        <w:tblW w:type="auto" w:w="0"/>
        <w:jc w:val="center"/>
        <w:tblLook w:firstColumn="1" w:firstRow="1" w:lastColumn="0" w:lastRow="0" w:noHBand="0" w:noVBand="1" w:val="04A0"/>
      </w:tblPr>
      <w:tblGrid>
        <w:gridCol w:w="9360"/>
      </w:tblGrid>
      <w:tr>
        <w:tc>
          <w:tcPr>
            <w:tcW w:type="dxa" w:w="9360"/>
            <w:shd w:fill="F0F4F8"/>
            <w:tcBorders>
              <w:top w:val="none"/>
              <w:left w:val="single" w:sz="24" w:space="0" w:color="2563EB"/>
              <w:bottom w:val="none"/>
              <w:right w:val="none"/>
            </w:tcBorders>
            <w:tcMar>
              <w:top w:w="120" w:type="dxa"/>
              <w:bottom w:w="120" w:type="dxa"/>
              <w:left w:w="180" w:type="dxa"/>
              <w:right w:w="180" w:type="dxa"/>
            </w:tcMar>
          </w:tcPr>
          <w:p>
            <w:pPr>
              <w:spacing w:before="40" w:after="40" w:line="300" w:lineRule="auto"/>
            </w:pPr>
            <w:r>
              <w:rPr>
                <w:rFonts w:ascii="微软雅黑" w:hAnsi="微软雅黑" w:eastAsia="微软雅黑"/>
                <w:b/>
                <w:i w:val="0"/>
                <w:color w:val="2563EB"/>
                <w:sz w:val="20"/>
              </w:rPr>
              <w:t>📌 系统愿景与定位：</w:t>
            </w:r>
            <w:r>
              <w:rPr>
                <w:rFonts w:ascii="微软雅黑" w:hAnsi="微软雅黑" w:eastAsia="微软雅黑"/>
                <w:b w:val="0"/>
                <w:i w:val="0"/>
                <w:color w:val="1F2937"/>
                <w:sz w:val="20"/>
              </w:rPr>
              <w:t>本项目是为作战概念研究与高效软件工程研发深度定制的自主协同工作台。V2.5 旗舰版全面贯通了【Antigravity 宿主推演拦截】、【18765 本地 API 网关】与【移动通信端 (微信/飞书)】的全链路通道，1:1 像素级复刻了 API Gateway 流量日志监控系统，支持 Prompt Cache 算力节约精准测算、微信端 /traffic 快捷查询、多端文件秒发、独立通用会话与 RBAC 动态安全防护，实现‘电脑桌面深度推演 + 手机端随时掌控’的高效闭环。</w:t>
            </w:r>
          </w:p>
        </w:tc>
      </w:tr>
    </w:tbl>
    <w:p>
      <w:pPr>
        <w:spacing w:before="0" w:after="80"/>
      </w:pPr>
    </w:p>
    <w:p>
      <w:pPr>
        <w:keepNext/>
        <w:spacing w:before="320" w:after="120"/>
      </w:pPr>
      <w:r>
        <w:rPr>
          <w:rFonts w:ascii="微软雅黑" w:hAnsi="微软雅黑" w:eastAsia="微软雅黑"/>
          <w:b/>
          <w:i w:val="0"/>
          <w:color w:val="1E3A8A"/>
          <w:sz w:val="30"/>
        </w:rPr>
        <w:t>一、 系统全景能力矩阵</w:t>
      </w:r>
    </w:p>
    <w:p>
      <w:pPr>
        <w:spacing w:before="0" w:after="80" w:line="300" w:lineRule="auto"/>
        <w:jc w:val="left"/>
      </w:pPr>
      <w:r>
        <w:rPr>
          <w:rFonts w:ascii="微软雅黑" w:hAnsi="微软雅黑" w:eastAsia="微软雅黑"/>
          <w:b w:val="0"/>
          <w:i w:val="0"/>
          <w:color w:val="1F2937"/>
          <w:sz w:val="21"/>
        </w:rPr>
        <w:t>工作台面向现代复杂工程研制与智能体自主研发，提供以下六大核心能力集群：</w:t>
      </w:r>
    </w:p>
    <w:p>
      <w:pPr>
        <w:pStyle w:val="ListBullet"/>
        <w:spacing w:before="20" w:after="60" w:line="300" w:lineRule="auto"/>
      </w:pPr>
      <w:r>
        <w:rPr>
          <w:rFonts w:ascii="微软雅黑" w:hAnsi="微软雅黑" w:eastAsia="微软雅黑"/>
          <w:b/>
          <w:i w:val="0"/>
          <w:color w:val="1F2937"/>
          <w:sz w:val="21"/>
        </w:rPr>
        <w:t>🌐 全链路流量日志监控 (1:1 Gateway 视觉复刻)：</w:t>
      </w:r>
      <w:r>
        <w:rPr>
          <w:rFonts w:ascii="微软雅黑" w:hAnsi="微软雅黑" w:eastAsia="微软雅黑"/>
          <w:b w:val="0"/>
          <w:i w:val="0"/>
          <w:color w:val="1F2937"/>
          <w:sz w:val="21"/>
        </w:rPr>
        <w:t>完美复刻专业 API Gateway 界面风格，深色暗黑高质感表格实时展示状态码 (200/429/错误)、端点/协议、请求与真实映射模型、账号凭证、Token 消耗 (入/出/缓三段式及缓存节约率)、耗时/首字延迟 (TTFT) 及精确时间戳。</w:t>
      </w:r>
    </w:p>
    <w:p>
      <w:pPr>
        <w:pStyle w:val="ListBullet"/>
        <w:spacing w:before="20" w:after="60" w:line="300" w:lineRule="auto"/>
      </w:pPr>
      <w:r>
        <w:rPr>
          <w:rFonts w:ascii="微软雅黑" w:hAnsi="微软雅黑" w:eastAsia="微软雅黑"/>
          <w:b/>
          <w:i w:val="0"/>
          <w:color w:val="1F2937"/>
          <w:sz w:val="21"/>
        </w:rPr>
        <w:t>🛡️ Prompt Cache 算力节约测算与趋势可视化：</w:t>
      </w:r>
      <w:r>
        <w:rPr>
          <w:rFonts w:ascii="微软雅黑" w:hAnsi="微软雅黑" w:eastAsia="微软雅黑"/>
          <w:b w:val="0"/>
          <w:i w:val="0"/>
          <w:color w:val="1F2937"/>
          <w:sz w:val="21"/>
        </w:rPr>
        <w:t>精准提取 Antigravity 宿主原生 Context Caching 数据，直观呈现高达 95%+ 的 Token 缓存命中节约量与累计节省成本（折合约数百美元/上千元人民币），内置时序趋势柱状图。</w:t>
      </w:r>
    </w:p>
    <w:p>
      <w:pPr>
        <w:pStyle w:val="ListBullet"/>
        <w:spacing w:before="20" w:after="60" w:line="300" w:lineRule="auto"/>
      </w:pPr>
      <w:r>
        <w:rPr>
          <w:rFonts w:ascii="微软雅黑" w:hAnsi="微软雅黑" w:eastAsia="微软雅黑"/>
          <w:b/>
          <w:i w:val="0"/>
          <w:color w:val="1F2937"/>
          <w:sz w:val="21"/>
        </w:rPr>
        <w:t>📱 微信/飞书双端随时随地调度：</w:t>
      </w:r>
      <w:r>
        <w:rPr>
          <w:rFonts w:ascii="微软雅黑" w:hAnsi="微软雅黑" w:eastAsia="微软雅黑"/>
          <w:b w:val="0"/>
          <w:i w:val="0"/>
          <w:color w:val="1F2937"/>
          <w:sz w:val="21"/>
        </w:rPr>
        <w:t>通过腾讯 iLink 协议与飞书开放平台，免公网穿透双向互联。支持手机端发送文字/语音下发工程任务、查询进度、并在微信直接发送 /traffic 查收用量日报。</w:t>
      </w:r>
    </w:p>
    <w:p>
      <w:pPr>
        <w:pStyle w:val="ListBullet"/>
        <w:spacing w:before="20" w:after="60" w:line="300" w:lineRule="auto"/>
      </w:pPr>
      <w:r>
        <w:rPr>
          <w:rFonts w:ascii="微软雅黑" w:hAnsi="微软雅黑" w:eastAsia="微软雅黑"/>
          <w:b/>
          <w:i w:val="0"/>
          <w:color w:val="1F2937"/>
          <w:sz w:val="21"/>
        </w:rPr>
        <w:t>📤 研发成果与成果文档微信直推：</w:t>
      </w:r>
      <w:r>
        <w:rPr>
          <w:rFonts w:ascii="微软雅黑" w:hAnsi="微软雅黑" w:eastAsia="微软雅黑"/>
          <w:b w:val="0"/>
          <w:i w:val="0"/>
          <w:color w:val="1F2937"/>
          <w:sz w:val="21"/>
        </w:rPr>
        <w:t>支持将作战概念方案、说明书 Word 文档、工程源码压缩包或屏幕界面渲染快照，通过腾讯 CDN 安全通道直接回传至手机微信，告别电脑拷文件繁琐步骤。</w:t>
      </w:r>
    </w:p>
    <w:p>
      <w:pPr>
        <w:pStyle w:val="ListBullet"/>
        <w:spacing w:before="20" w:after="60" w:line="300" w:lineRule="auto"/>
      </w:pPr>
      <w:r>
        <w:rPr>
          <w:rFonts w:ascii="微软雅黑" w:hAnsi="微软雅黑" w:eastAsia="微软雅黑"/>
          <w:b/>
          <w:i w:val="0"/>
          <w:color w:val="1F2937"/>
          <w:sz w:val="21"/>
        </w:rPr>
        <w:t>📋 敏捷任务看板与多工程漫游：</w:t>
      </w:r>
      <w:r>
        <w:rPr>
          <w:rFonts w:ascii="微软雅黑" w:hAnsi="微软雅黑" w:eastAsia="微软雅黑"/>
          <w:b w:val="0"/>
          <w:i w:val="0"/>
          <w:color w:val="1F2937"/>
          <w:sz w:val="21"/>
        </w:rPr>
        <w:t>支持阶段分组（Milestone）与三列泳道（Todo/In Progress/Done），支持随时新建/登记研发工程（/newproject）以及不归属单一仓库的独立通用会话（/new -g）。</w:t>
      </w:r>
    </w:p>
    <w:p>
      <w:pPr>
        <w:pStyle w:val="ListBullet"/>
        <w:spacing w:before="20" w:after="60" w:line="300" w:lineRule="auto"/>
      </w:pPr>
      <w:r>
        <w:rPr>
          <w:rFonts w:ascii="微软雅黑" w:hAnsi="微软雅黑" w:eastAsia="微软雅黑"/>
          <w:b/>
          <w:i w:val="0"/>
          <w:color w:val="1F2937"/>
          <w:sz w:val="21"/>
        </w:rPr>
        <w:t>🔐 RBAC 白名单与高危指令 4 位验证码：</w:t>
      </w:r>
      <w:r>
        <w:rPr>
          <w:rFonts w:ascii="微软雅黑" w:hAnsi="微软雅黑" w:eastAsia="微软雅黑"/>
          <w:b w:val="0"/>
          <w:i w:val="0"/>
          <w:color w:val="1F2937"/>
          <w:sz w:val="21"/>
        </w:rPr>
        <w:t>多层级权限守卫，遇到 rm、全清、强制覆盖等危险动作自动拦截，下发 60 秒 4 位动态验证码二次核验保护。</w:t>
      </w:r>
    </w:p>
    <w:p>
      <w:pPr>
        <w:keepNext/>
        <w:spacing w:before="320" w:after="120"/>
      </w:pPr>
      <w:r>
        <w:rPr>
          <w:rFonts w:ascii="微软雅黑" w:hAnsi="微软雅黑" w:eastAsia="微软雅黑"/>
          <w:b/>
          <w:i w:val="0"/>
          <w:color w:val="1E3A8A"/>
          <w:sz w:val="30"/>
        </w:rPr>
        <w:t>二、 全链路流量监控系统 (Traffic Monitor)</w:t>
      </w:r>
    </w:p>
    <w:p>
      <w:pPr>
        <w:spacing w:before="0" w:after="80" w:line="300" w:lineRule="auto"/>
        <w:jc w:val="left"/>
      </w:pPr>
      <w:r>
        <w:rPr>
          <w:rFonts w:ascii="微软雅黑" w:hAnsi="微软雅黑" w:eastAsia="微软雅黑"/>
          <w:b w:val="0"/>
          <w:i w:val="0"/>
          <w:color w:val="1F2937"/>
          <w:sz w:val="21"/>
        </w:rPr>
        <w:t>流量监控是 V2.5 版本最重磅的升级特性。为彻底解决大模型调用“费用黑盒”、“性能未知”以及“排错困难”等行业通病，工作台打造了全能合一的流量监控中枢：</w:t>
      </w:r>
    </w:p>
    <w:tbl>
      <w:tblPr>
        <w:tblW w:type="auto" w:w="0"/>
        <w:jc w:val="center"/>
        <w:tblLayout w:type="fixed"/>
        <w:tblLook w:firstColumn="1" w:firstRow="1" w:lastColumn="0" w:lastRow="0" w:noHBand="0" w:noVBand="1" w:val="04A0"/>
        <w:tblBorders>
          <w:top w:val="single" w:sz="4" w:space="0" w:color="D1D5DB"/>
          <w:left w:val="none"/>
          <w:bottom w:val="single" w:sz="8" w:space="0" w:color="9CA3AF"/>
          <w:right w:val="none"/>
          <w:insideH w:val="single" w:sz="4" w:space="0" w:color="E5E7EB"/>
          <w:insideV w:val="none"/>
        </w:tblBorders>
      </w:tblPr>
      <w:tblGrid>
        <w:gridCol w:w="2340"/>
        <w:gridCol w:w="2340"/>
        <w:gridCol w:w="2340"/>
        <w:gridCol w:w="2340"/>
      </w:tblGrid>
      <w:tr>
        <w:tc>
          <w:tcPr>
            <w:tcW w:type="dxa" w:w="1728"/>
            <w:shd w:fill="1E3A8A"/>
            <w:tcMar>
              <w:top w:w="120" w:type="dxa"/>
              <w:bottom w:w="120" w:type="dxa"/>
              <w:left w:w="140" w:type="dxa"/>
              <w:right w:w="140" w:type="dxa"/>
            </w:tcMar>
          </w:tcPr>
          <w:p>
            <w:pPr>
              <w:spacing w:before="40" w:after="40"/>
              <w:jc w:val="center"/>
            </w:pPr>
            <w:r>
              <w:rPr>
                <w:rFonts w:ascii="微软雅黑" w:hAnsi="微软雅黑" w:eastAsia="微软雅黑"/>
                <w:b/>
                <w:i w:val="0"/>
                <w:color w:val="FFFFFF"/>
                <w:sz w:val="19"/>
              </w:rPr>
              <w:t>监控列维度</w:t>
            </w:r>
          </w:p>
        </w:tc>
        <w:tc>
          <w:tcPr>
            <w:tcW w:type="dxa" w:w="2592"/>
            <w:shd w:fill="1E3A8A"/>
            <w:tcMar>
              <w:top w:w="120" w:type="dxa"/>
              <w:bottom w:w="120" w:type="dxa"/>
              <w:left w:w="140" w:type="dxa"/>
              <w:right w:w="140" w:type="dxa"/>
            </w:tcMar>
          </w:tcPr>
          <w:p>
            <w:pPr>
              <w:spacing w:before="40" w:after="40"/>
              <w:jc w:val="center"/>
            </w:pPr>
            <w:r>
              <w:rPr>
                <w:rFonts w:ascii="微软雅黑" w:hAnsi="微软雅黑" w:eastAsia="微软雅黑"/>
                <w:b/>
                <w:i w:val="0"/>
                <w:color w:val="FFFFFF"/>
                <w:sz w:val="19"/>
              </w:rPr>
              <w:t>呈现样式与发光标识</w:t>
            </w:r>
          </w:p>
        </w:tc>
        <w:tc>
          <w:tcPr>
            <w:tcW w:type="dxa" w:w="2736"/>
            <w:shd w:fill="1E3A8A"/>
            <w:tcMar>
              <w:top w:w="120" w:type="dxa"/>
              <w:bottom w:w="120" w:type="dxa"/>
              <w:left w:w="140" w:type="dxa"/>
              <w:right w:w="140" w:type="dxa"/>
            </w:tcMar>
          </w:tcPr>
          <w:p>
            <w:pPr>
              <w:spacing w:before="40" w:after="40"/>
              <w:jc w:val="center"/>
            </w:pPr>
            <w:r>
              <w:rPr>
                <w:rFonts w:ascii="微软雅黑" w:hAnsi="微软雅黑" w:eastAsia="微软雅黑"/>
                <w:b/>
                <w:i w:val="0"/>
                <w:color w:val="FFFFFF"/>
                <w:sz w:val="19"/>
              </w:rPr>
              <w:t>数据采集与底层机制</w:t>
            </w:r>
          </w:p>
        </w:tc>
        <w:tc>
          <w:tcPr>
            <w:tcW w:type="dxa" w:w="2304"/>
            <w:shd w:fill="1E3A8A"/>
            <w:tcMar>
              <w:top w:w="120" w:type="dxa"/>
              <w:bottom w:w="120" w:type="dxa"/>
              <w:left w:w="140" w:type="dxa"/>
              <w:right w:w="140" w:type="dxa"/>
            </w:tcMar>
          </w:tcPr>
          <w:p>
            <w:pPr>
              <w:spacing w:before="40" w:after="40"/>
              <w:jc w:val="center"/>
            </w:pPr>
            <w:r>
              <w:rPr>
                <w:rFonts w:ascii="微软雅黑" w:hAnsi="微软雅黑" w:eastAsia="微软雅黑"/>
                <w:b/>
                <w:i w:val="0"/>
                <w:color w:val="FFFFFF"/>
                <w:sz w:val="19"/>
              </w:rPr>
              <w:t>工程与审计价值</w:t>
            </w:r>
          </w:p>
        </w:tc>
      </w:tr>
      <w:tr>
        <w:tc>
          <w:tcPr>
            <w:tcW w:type="dxa" w:w="1728"/>
            <w:shd w:fill="FFFFFF"/>
            <w:tcMar>
              <w:top w:w="100" w:type="dxa"/>
              <w:bottom w:w="100" w:type="dxa"/>
              <w:left w:w="140" w:type="dxa"/>
              <w:right w:w="140" w:type="dxa"/>
            </w:tcMar>
          </w:tcPr>
          <w:p>
            <w:pPr>
              <w:spacing w:before="40" w:after="40" w:line="276" w:lineRule="auto"/>
              <w:jc w:val="center"/>
            </w:pPr>
            <w:r>
              <w:rPr>
                <w:rFonts w:ascii="微软雅黑" w:hAnsi="微软雅黑" w:eastAsia="微软雅黑"/>
                <w:b w:val="0"/>
                <w:i w:val="0"/>
                <w:color w:val="1F2937"/>
                <w:sz w:val="18"/>
              </w:rPr>
              <w:t>状态</w:t>
              <w:br/>
              <w:t>(Status)</w:t>
            </w:r>
          </w:p>
        </w:tc>
        <w:tc>
          <w:tcPr>
            <w:tcW w:type="dxa" w:w="2592"/>
            <w:shd w:fill="FFFFFF"/>
            <w:tcMar>
              <w:top w:w="100" w:type="dxa"/>
              <w:bottom w:w="100" w:type="dxa"/>
              <w:left w:w="140" w:type="dxa"/>
              <w:right w:w="140" w:type="dxa"/>
            </w:tcMar>
          </w:tcPr>
          <w:p>
            <w:pPr>
              <w:spacing w:before="40" w:after="40" w:line="276" w:lineRule="auto"/>
              <w:jc w:val="left"/>
            </w:pPr>
            <w:r>
              <w:rPr>
                <w:rFonts w:ascii="微软雅黑" w:hAnsi="微软雅黑" w:eastAsia="微软雅黑"/>
                <w:b w:val="0"/>
                <w:i w:val="0"/>
                <w:color w:val="1F2937"/>
                <w:sz w:val="18"/>
              </w:rPr>
              <w:t>🟢 200 OK (绿色微光)</w:t>
              <w:br/>
              <w:t>🟡 429 RateLimit (黄色)</w:t>
              <w:br/>
              <w:t>🔴 错误/超时 (红色发光)</w:t>
            </w:r>
          </w:p>
        </w:tc>
        <w:tc>
          <w:tcPr>
            <w:tcW w:type="dxa" w:w="2736"/>
            <w:shd w:fill="FFFFFF"/>
            <w:tcMar>
              <w:top w:w="100" w:type="dxa"/>
              <w:bottom w:w="100" w:type="dxa"/>
              <w:left w:w="140" w:type="dxa"/>
              <w:right w:w="140" w:type="dxa"/>
            </w:tcMar>
          </w:tcPr>
          <w:p>
            <w:pPr>
              <w:spacing w:before="40" w:after="40" w:line="276" w:lineRule="auto"/>
              <w:jc w:val="left"/>
            </w:pPr>
            <w:r>
              <w:rPr>
                <w:rFonts w:ascii="微软雅黑" w:hAnsi="微软雅黑" w:eastAsia="微软雅黑"/>
                <w:b w:val="0"/>
                <w:i w:val="0"/>
                <w:color w:val="1F2937"/>
                <w:sz w:val="18"/>
              </w:rPr>
              <w:t>自动拦截 18765 端口 HTTP 返回码及宿主 Agent 执行状态（DONE / ERROR）。</w:t>
            </w:r>
          </w:p>
        </w:tc>
        <w:tc>
          <w:tcPr>
            <w:tcW w:type="dxa" w:w="2304"/>
            <w:shd w:fill="FFFFFF"/>
            <w:tcMar>
              <w:top w:w="100" w:type="dxa"/>
              <w:bottom w:w="100" w:type="dxa"/>
              <w:left w:w="140" w:type="dxa"/>
              <w:right w:w="140" w:type="dxa"/>
            </w:tcMar>
          </w:tcPr>
          <w:p>
            <w:pPr>
              <w:spacing w:before="40" w:after="40" w:line="276" w:lineRule="auto"/>
              <w:jc w:val="left"/>
            </w:pPr>
            <w:r>
              <w:rPr>
                <w:rFonts w:ascii="微软雅黑" w:hAnsi="微软雅黑" w:eastAsia="微软雅黑"/>
                <w:b w:val="0"/>
                <w:i w:val="0"/>
                <w:color w:val="1F2937"/>
                <w:sz w:val="18"/>
              </w:rPr>
              <w:t>一眼识别异常接口与限流节点，提升系统排错效率。</w:t>
            </w:r>
          </w:p>
        </w:tc>
      </w:tr>
      <w:tr>
        <w:tc>
          <w:tcPr>
            <w:tcW w:type="dxa" w:w="1728"/>
            <w:shd w:fill="F9FAFB"/>
            <w:tcMar>
              <w:top w:w="100" w:type="dxa"/>
              <w:bottom w:w="100" w:type="dxa"/>
              <w:left w:w="140" w:type="dxa"/>
              <w:right w:w="140" w:type="dxa"/>
            </w:tcMar>
          </w:tcPr>
          <w:p>
            <w:pPr>
              <w:spacing w:before="40" w:after="40" w:line="276" w:lineRule="auto"/>
              <w:jc w:val="center"/>
            </w:pPr>
            <w:r>
              <w:rPr>
                <w:rFonts w:ascii="微软雅黑" w:hAnsi="微软雅黑" w:eastAsia="微软雅黑"/>
                <w:b w:val="0"/>
                <w:i w:val="0"/>
                <w:color w:val="1F2937"/>
                <w:sz w:val="18"/>
              </w:rPr>
              <w:t>端点 / 协议</w:t>
              <w:br/>
              <w:t>(Endpoint)</w:t>
            </w:r>
          </w:p>
        </w:tc>
        <w:tc>
          <w:tcPr>
            <w:tcW w:type="dxa" w:w="2592"/>
            <w:shd w:fill="F9FAFB"/>
            <w:tcMar>
              <w:top w:w="100" w:type="dxa"/>
              <w:bottom w:w="100" w:type="dxa"/>
              <w:left w:w="140" w:type="dxa"/>
              <w:right w:w="140" w:type="dxa"/>
            </w:tcMar>
          </w:tcPr>
          <w:p>
            <w:pPr>
              <w:spacing w:before="40" w:after="40" w:line="276" w:lineRule="auto"/>
              <w:jc w:val="left"/>
            </w:pPr>
            <w:r>
              <w:rPr>
                <w:rFonts w:ascii="微软雅黑" w:hAnsi="微软雅黑" w:eastAsia="微软雅黑"/>
                <w:b w:val="0"/>
                <w:i w:val="0"/>
                <w:color w:val="1F2937"/>
                <w:sz w:val="18"/>
              </w:rPr>
              <w:t>方法标签 POST/GET +</w:t>
              <w:br/>
              <w:t>协议标签 (OpenAI/Antigravity)</w:t>
              <w:br/>
              <w:t>下附调用路径或工具名</w:t>
            </w:r>
          </w:p>
        </w:tc>
        <w:tc>
          <w:tcPr>
            <w:tcW w:type="dxa" w:w="2736"/>
            <w:shd w:fill="F9FAFB"/>
            <w:tcMar>
              <w:top w:w="100" w:type="dxa"/>
              <w:bottom w:w="100" w:type="dxa"/>
              <w:left w:w="140" w:type="dxa"/>
              <w:right w:w="140" w:type="dxa"/>
            </w:tcMar>
          </w:tcPr>
          <w:p>
            <w:pPr>
              <w:spacing w:before="40" w:after="40" w:line="276" w:lineRule="auto"/>
              <w:jc w:val="left"/>
            </w:pPr>
            <w:r>
              <w:rPr>
                <w:rFonts w:ascii="微软雅黑" w:hAnsi="微软雅黑" w:eastAsia="微软雅黑"/>
                <w:b w:val="0"/>
                <w:i w:val="0"/>
                <w:color w:val="1F2937"/>
                <w:sz w:val="18"/>
              </w:rPr>
              <w:t>网关捕获 /v1/chat/completions 或宿主拦截工具调用（如 tool:run_command）。</w:t>
            </w:r>
          </w:p>
        </w:tc>
        <w:tc>
          <w:tcPr>
            <w:tcW w:type="dxa" w:w="2304"/>
            <w:shd w:fill="F9FAFB"/>
            <w:tcMar>
              <w:top w:w="100" w:type="dxa"/>
              <w:bottom w:w="100" w:type="dxa"/>
              <w:left w:w="140" w:type="dxa"/>
              <w:right w:w="140" w:type="dxa"/>
            </w:tcMar>
          </w:tcPr>
          <w:p>
            <w:pPr>
              <w:spacing w:before="40" w:after="40" w:line="276" w:lineRule="auto"/>
              <w:jc w:val="left"/>
            </w:pPr>
            <w:r>
              <w:rPr>
                <w:rFonts w:ascii="微软雅黑" w:hAnsi="微软雅黑" w:eastAsia="微软雅黑"/>
                <w:b w:val="0"/>
                <w:i w:val="0"/>
                <w:color w:val="1F2937"/>
                <w:sz w:val="18"/>
              </w:rPr>
              <w:t>区分外部 HTTP 网关请求与宿主环境原生推演流量。</w:t>
            </w:r>
          </w:p>
        </w:tc>
      </w:tr>
      <w:tr>
        <w:tc>
          <w:tcPr>
            <w:tcW w:type="dxa" w:w="1728"/>
            <w:shd w:fill="FFFFFF"/>
            <w:tcMar>
              <w:top w:w="100" w:type="dxa"/>
              <w:bottom w:w="100" w:type="dxa"/>
              <w:left w:w="140" w:type="dxa"/>
              <w:right w:w="140" w:type="dxa"/>
            </w:tcMar>
          </w:tcPr>
          <w:p>
            <w:pPr>
              <w:spacing w:before="40" w:after="40" w:line="276" w:lineRule="auto"/>
              <w:jc w:val="center"/>
            </w:pPr>
            <w:r>
              <w:rPr>
                <w:rFonts w:ascii="微软雅黑" w:hAnsi="微软雅黑" w:eastAsia="微软雅黑"/>
                <w:b w:val="0"/>
                <w:i w:val="0"/>
                <w:color w:val="1F2937"/>
                <w:sz w:val="18"/>
              </w:rPr>
              <w:t>模型映射</w:t>
              <w:br/>
              <w:t>(Model)</w:t>
            </w:r>
          </w:p>
        </w:tc>
        <w:tc>
          <w:tcPr>
            <w:tcW w:type="dxa" w:w="2592"/>
            <w:shd w:fill="FFFFFF"/>
            <w:tcMar>
              <w:top w:w="100" w:type="dxa"/>
              <w:bottom w:w="100" w:type="dxa"/>
              <w:left w:w="140" w:type="dxa"/>
              <w:right w:w="140" w:type="dxa"/>
            </w:tcMar>
          </w:tcPr>
          <w:p>
            <w:pPr>
              <w:spacing w:before="40" w:after="40" w:line="276" w:lineRule="auto"/>
              <w:jc w:val="left"/>
            </w:pPr>
            <w:r>
              <w:rPr>
                <w:rFonts w:ascii="微软雅黑" w:hAnsi="微软雅黑" w:eastAsia="微软雅黑"/>
                <w:b w:val="0"/>
                <w:i w:val="0"/>
                <w:color w:val="1F2937"/>
                <w:sz w:val="18"/>
              </w:rPr>
              <w:t>主行：请求模型</w:t>
              <w:br/>
              <w:t>次行：↳ 真实映射模型</w:t>
              <w:br/>
              <w:t>(等宽字体排版)</w:t>
            </w:r>
          </w:p>
        </w:tc>
        <w:tc>
          <w:tcPr>
            <w:tcW w:type="dxa" w:w="2736"/>
            <w:shd w:fill="FFFFFF"/>
            <w:tcMar>
              <w:top w:w="100" w:type="dxa"/>
              <w:bottom w:w="100" w:type="dxa"/>
              <w:left w:w="140" w:type="dxa"/>
              <w:right w:w="140" w:type="dxa"/>
            </w:tcMar>
          </w:tcPr>
          <w:p>
            <w:pPr>
              <w:spacing w:before="40" w:after="40" w:line="276" w:lineRule="auto"/>
              <w:jc w:val="left"/>
            </w:pPr>
            <w:r>
              <w:rPr>
                <w:rFonts w:ascii="微软雅黑" w:hAnsi="微软雅黑" w:eastAsia="微软雅黑"/>
                <w:b w:val="0"/>
                <w:i w:val="0"/>
                <w:color w:val="1F2937"/>
                <w:sz w:val="18"/>
              </w:rPr>
              <w:t>记录客户端请求的模型名与网关智能路由映射后的真实落地大模型。</w:t>
            </w:r>
          </w:p>
        </w:tc>
        <w:tc>
          <w:tcPr>
            <w:tcW w:type="dxa" w:w="2304"/>
            <w:shd w:fill="FFFFFF"/>
            <w:tcMar>
              <w:top w:w="100" w:type="dxa"/>
              <w:bottom w:w="100" w:type="dxa"/>
              <w:left w:w="140" w:type="dxa"/>
              <w:right w:w="140" w:type="dxa"/>
            </w:tcMar>
          </w:tcPr>
          <w:p>
            <w:pPr>
              <w:spacing w:before="40" w:after="40" w:line="276" w:lineRule="auto"/>
              <w:jc w:val="left"/>
            </w:pPr>
            <w:r>
              <w:rPr>
                <w:rFonts w:ascii="微软雅黑" w:hAnsi="微软雅黑" w:eastAsia="微软雅黑"/>
                <w:b w:val="0"/>
                <w:i w:val="0"/>
                <w:color w:val="1F2937"/>
                <w:sz w:val="18"/>
              </w:rPr>
              <w:t>透明化展示多模型调度与后备降级路由决策。</w:t>
            </w:r>
          </w:p>
        </w:tc>
      </w:tr>
      <w:tr>
        <w:tc>
          <w:tcPr>
            <w:tcW w:type="dxa" w:w="1728"/>
            <w:shd w:fill="F9FAFB"/>
            <w:tcMar>
              <w:top w:w="100" w:type="dxa"/>
              <w:bottom w:w="100" w:type="dxa"/>
              <w:left w:w="140" w:type="dxa"/>
              <w:right w:w="140" w:type="dxa"/>
            </w:tcMar>
          </w:tcPr>
          <w:p>
            <w:pPr>
              <w:spacing w:before="40" w:after="40" w:line="276" w:lineRule="auto"/>
              <w:jc w:val="center"/>
            </w:pPr>
            <w:r>
              <w:rPr>
                <w:rFonts w:ascii="微软雅黑" w:hAnsi="微软雅黑" w:eastAsia="微软雅黑"/>
                <w:b w:val="0"/>
                <w:i w:val="0"/>
                <w:color w:val="1F2937"/>
                <w:sz w:val="18"/>
              </w:rPr>
              <w:t>账号凭证</w:t>
              <w:br/>
              <w:t>(Account)</w:t>
            </w:r>
          </w:p>
        </w:tc>
        <w:tc>
          <w:tcPr>
            <w:tcW w:type="dxa" w:w="2592"/>
            <w:shd w:fill="F9FAFB"/>
            <w:tcMar>
              <w:top w:w="100" w:type="dxa"/>
              <w:bottom w:w="100" w:type="dxa"/>
              <w:left w:w="140" w:type="dxa"/>
              <w:right w:w="140" w:type="dxa"/>
            </w:tcMar>
          </w:tcPr>
          <w:p>
            <w:pPr>
              <w:spacing w:before="40" w:after="40" w:line="276" w:lineRule="auto"/>
              <w:jc w:val="left"/>
            </w:pPr>
            <w:r>
              <w:rPr>
                <w:rFonts w:ascii="微软雅黑" w:hAnsi="微软雅黑" w:eastAsia="微软雅黑"/>
                <w:b w:val="0"/>
                <w:i w:val="0"/>
                <w:color w:val="1F2937"/>
                <w:sz w:val="18"/>
              </w:rPr>
              <w:t>脱敏药丸徽章 (Pill)</w:t>
              <w:br/>
              <w:t>如 IDE 研发会话、CoW 微信用户</w:t>
            </w:r>
          </w:p>
        </w:tc>
        <w:tc>
          <w:tcPr>
            <w:tcW w:type="dxa" w:w="2736"/>
            <w:shd w:fill="F9FAFB"/>
            <w:tcMar>
              <w:top w:w="100" w:type="dxa"/>
              <w:bottom w:w="100" w:type="dxa"/>
              <w:left w:w="140" w:type="dxa"/>
              <w:right w:w="140" w:type="dxa"/>
            </w:tcMar>
          </w:tcPr>
          <w:p>
            <w:pPr>
              <w:spacing w:before="40" w:after="40" w:line="276" w:lineRule="auto"/>
              <w:jc w:val="left"/>
            </w:pPr>
            <w:r>
              <w:rPr>
                <w:rFonts w:ascii="微软雅黑" w:hAnsi="微软雅黑" w:eastAsia="微软雅黑"/>
                <w:b w:val="0"/>
                <w:i w:val="0"/>
                <w:color w:val="1F2937"/>
                <w:sz w:val="18"/>
              </w:rPr>
              <w:t>提取 Authorization Bearer 令牌（脱敏打码）或当前宿主环境会话来源。</w:t>
            </w:r>
          </w:p>
        </w:tc>
        <w:tc>
          <w:tcPr>
            <w:tcW w:type="dxa" w:w="2304"/>
            <w:shd w:fill="F9FAFB"/>
            <w:tcMar>
              <w:top w:w="100" w:type="dxa"/>
              <w:bottom w:w="100" w:type="dxa"/>
              <w:left w:w="140" w:type="dxa"/>
              <w:right w:w="140" w:type="dxa"/>
            </w:tcMar>
          </w:tcPr>
          <w:p>
            <w:pPr>
              <w:spacing w:before="40" w:after="40" w:line="276" w:lineRule="auto"/>
              <w:jc w:val="left"/>
            </w:pPr>
            <w:r>
              <w:rPr>
                <w:rFonts w:ascii="微软雅黑" w:hAnsi="微软雅黑" w:eastAsia="微软雅黑"/>
                <w:b w:val="0"/>
                <w:i w:val="0"/>
                <w:color w:val="1F2937"/>
                <w:sz w:val="18"/>
              </w:rPr>
              <w:t>安全审计调用方身份，防范未授权盗刷与滥用。</w:t>
            </w:r>
          </w:p>
        </w:tc>
      </w:tr>
      <w:tr>
        <w:tc>
          <w:tcPr>
            <w:tcW w:type="dxa" w:w="1728"/>
            <w:shd w:fill="FFFFFF"/>
            <w:tcMar>
              <w:top w:w="100" w:type="dxa"/>
              <w:bottom w:w="100" w:type="dxa"/>
              <w:left w:w="140" w:type="dxa"/>
              <w:right w:w="140" w:type="dxa"/>
            </w:tcMar>
          </w:tcPr>
          <w:p>
            <w:pPr>
              <w:spacing w:before="40" w:after="40" w:line="276" w:lineRule="auto"/>
              <w:jc w:val="center"/>
            </w:pPr>
            <w:r>
              <w:rPr>
                <w:rFonts w:ascii="微软雅黑" w:hAnsi="微软雅黑" w:eastAsia="微软雅黑"/>
                <w:b w:val="0"/>
                <w:i w:val="0"/>
                <w:color w:val="1F2937"/>
                <w:sz w:val="18"/>
              </w:rPr>
              <w:t>Token 消耗</w:t>
              <w:br/>
              <w:t>(Tokens)</w:t>
            </w:r>
          </w:p>
        </w:tc>
        <w:tc>
          <w:tcPr>
            <w:tcW w:type="dxa" w:w="2592"/>
            <w:shd w:fill="FFFFFF"/>
            <w:tcMar>
              <w:top w:w="100" w:type="dxa"/>
              <w:bottom w:w="100" w:type="dxa"/>
              <w:left w:w="140" w:type="dxa"/>
              <w:right w:w="140" w:type="dxa"/>
            </w:tcMar>
          </w:tcPr>
          <w:p>
            <w:pPr>
              <w:spacing w:before="40" w:after="40" w:line="276" w:lineRule="auto"/>
              <w:jc w:val="left"/>
            </w:pPr>
            <w:r>
              <w:rPr>
                <w:rFonts w:ascii="微软雅黑" w:hAnsi="微软雅黑" w:eastAsia="微软雅黑"/>
                <w:b w:val="0"/>
                <w:i w:val="0"/>
                <w:color w:val="1F2937"/>
                <w:sz w:val="18"/>
              </w:rPr>
              <w:t>三段式微标签：</w:t>
              <w:br/>
              <w:t>入: 2.4k | 出: 111 | 缓: 116k</w:t>
              <w:br/>
              <w:t>下附总量 Σ 118k (青色高亮)</w:t>
            </w:r>
          </w:p>
        </w:tc>
        <w:tc>
          <w:tcPr>
            <w:tcW w:type="dxa" w:w="2736"/>
            <w:shd w:fill="FFFFFF"/>
            <w:tcMar>
              <w:top w:w="100" w:type="dxa"/>
              <w:bottom w:w="100" w:type="dxa"/>
              <w:left w:w="140" w:type="dxa"/>
              <w:right w:w="140" w:type="dxa"/>
            </w:tcMar>
          </w:tcPr>
          <w:p>
            <w:pPr>
              <w:spacing w:before="40" w:after="40" w:line="276" w:lineRule="auto"/>
              <w:jc w:val="left"/>
            </w:pPr>
            <w:r>
              <w:rPr>
                <w:rFonts w:ascii="微软雅黑" w:hAnsi="微软雅黑" w:eastAsia="微软雅黑"/>
                <w:b w:val="0"/>
                <w:i w:val="0"/>
                <w:color w:val="1F2937"/>
                <w:sz w:val="18"/>
              </w:rPr>
              <w:t>从 Antigravity 宿主 transcript 提取 input/output 及 cache_read_tokens（Prompt Cache 命中量）。</w:t>
            </w:r>
          </w:p>
        </w:tc>
        <w:tc>
          <w:tcPr>
            <w:tcW w:type="dxa" w:w="2304"/>
            <w:shd w:fill="FFFFFF"/>
            <w:tcMar>
              <w:top w:w="100" w:type="dxa"/>
              <w:bottom w:w="100" w:type="dxa"/>
              <w:left w:w="140" w:type="dxa"/>
              <w:right w:w="140" w:type="dxa"/>
            </w:tcMar>
          </w:tcPr>
          <w:p>
            <w:pPr>
              <w:spacing w:before="40" w:after="40" w:line="276" w:lineRule="auto"/>
              <w:jc w:val="left"/>
            </w:pPr>
            <w:r>
              <w:rPr>
                <w:rFonts w:ascii="微软雅黑" w:hAnsi="微软雅黑" w:eastAsia="微软雅黑"/>
                <w:b w:val="0"/>
                <w:i w:val="0"/>
                <w:color w:val="1F2937"/>
                <w:sz w:val="18"/>
              </w:rPr>
              <w:t>直观量化 Context Caching 为团队带来的海量 Token 节约。</w:t>
            </w:r>
          </w:p>
        </w:tc>
      </w:tr>
      <w:tr>
        <w:tc>
          <w:tcPr>
            <w:tcW w:type="dxa" w:w="1728"/>
            <w:shd w:fill="F9FAFB"/>
            <w:tcMar>
              <w:top w:w="100" w:type="dxa"/>
              <w:bottom w:w="100" w:type="dxa"/>
              <w:left w:w="140" w:type="dxa"/>
              <w:right w:w="140" w:type="dxa"/>
            </w:tcMar>
          </w:tcPr>
          <w:p>
            <w:pPr>
              <w:spacing w:before="40" w:after="40" w:line="276" w:lineRule="auto"/>
              <w:jc w:val="center"/>
            </w:pPr>
            <w:r>
              <w:rPr>
                <w:rFonts w:ascii="微软雅黑" w:hAnsi="微软雅黑" w:eastAsia="微软雅黑"/>
                <w:b w:val="0"/>
                <w:i w:val="0"/>
                <w:color w:val="1F2937"/>
                <w:sz w:val="18"/>
              </w:rPr>
              <w:t>耗时 / 首字</w:t>
              <w:br/>
              <w:t>(Latency)</w:t>
            </w:r>
          </w:p>
        </w:tc>
        <w:tc>
          <w:tcPr>
            <w:tcW w:type="dxa" w:w="2592"/>
            <w:shd w:fill="F9FAFB"/>
            <w:tcMar>
              <w:top w:w="100" w:type="dxa"/>
              <w:bottom w:w="100" w:type="dxa"/>
              <w:left w:w="140" w:type="dxa"/>
              <w:right w:w="140" w:type="dxa"/>
            </w:tcMar>
          </w:tcPr>
          <w:p>
            <w:pPr>
              <w:spacing w:before="40" w:after="40" w:line="276" w:lineRule="auto"/>
              <w:jc w:val="left"/>
            </w:pPr>
            <w:r>
              <w:rPr>
                <w:rFonts w:ascii="微软雅黑" w:hAnsi="微软雅黑" w:eastAsia="微软雅黑"/>
                <w:b w:val="0"/>
                <w:i w:val="0"/>
                <w:color w:val="1F2937"/>
                <w:sz w:val="18"/>
              </w:rPr>
              <w:t>主行：总耗时 (如 1.00s)</w:t>
              <w:br/>
              <w:t>次行：首字 TTFT (如 0.35s)</w:t>
            </w:r>
          </w:p>
        </w:tc>
        <w:tc>
          <w:tcPr>
            <w:tcW w:type="dxa" w:w="2736"/>
            <w:shd w:fill="F9FAFB"/>
            <w:tcMar>
              <w:top w:w="100" w:type="dxa"/>
              <w:bottom w:w="100" w:type="dxa"/>
              <w:left w:w="140" w:type="dxa"/>
              <w:right w:w="140" w:type="dxa"/>
            </w:tcMar>
          </w:tcPr>
          <w:p>
            <w:pPr>
              <w:spacing w:before="40" w:after="40" w:line="276" w:lineRule="auto"/>
              <w:jc w:val="left"/>
            </w:pPr>
            <w:r>
              <w:rPr>
                <w:rFonts w:ascii="微软雅黑" w:hAnsi="微软雅黑" w:eastAsia="微软雅黑"/>
                <w:b w:val="0"/>
                <w:i w:val="0"/>
                <w:color w:val="1F2937"/>
                <w:sz w:val="18"/>
              </w:rPr>
              <w:t>记录从请求发出至收到第一个生成 Token (TTFT) 以及推演流结束的总时间。</w:t>
            </w:r>
          </w:p>
        </w:tc>
        <w:tc>
          <w:tcPr>
            <w:tcW w:type="dxa" w:w="2304"/>
            <w:shd w:fill="F9FAFB"/>
            <w:tcMar>
              <w:top w:w="100" w:type="dxa"/>
              <w:bottom w:w="100" w:type="dxa"/>
              <w:left w:w="140" w:type="dxa"/>
              <w:right w:w="140" w:type="dxa"/>
            </w:tcMar>
          </w:tcPr>
          <w:p>
            <w:pPr>
              <w:spacing w:before="40" w:after="40" w:line="276" w:lineRule="auto"/>
              <w:jc w:val="left"/>
            </w:pPr>
            <w:r>
              <w:rPr>
                <w:rFonts w:ascii="微软雅黑" w:hAnsi="微软雅黑" w:eastAsia="微软雅黑"/>
                <w:b w:val="0"/>
                <w:i w:val="0"/>
                <w:color w:val="1F2937"/>
                <w:sz w:val="18"/>
              </w:rPr>
              <w:t>监控首字生成效率与网络/推理延迟瓶颈。</w:t>
            </w:r>
          </w:p>
        </w:tc>
      </w:tr>
      <w:tr>
        <w:tc>
          <w:tcPr>
            <w:tcW w:type="dxa" w:w="1728"/>
            <w:shd w:fill="FFFFFF"/>
            <w:tcMar>
              <w:top w:w="100" w:type="dxa"/>
              <w:bottom w:w="100" w:type="dxa"/>
              <w:left w:w="140" w:type="dxa"/>
              <w:right w:w="140" w:type="dxa"/>
            </w:tcMar>
          </w:tcPr>
          <w:p>
            <w:pPr>
              <w:spacing w:before="40" w:after="40" w:line="276" w:lineRule="auto"/>
              <w:jc w:val="center"/>
            </w:pPr>
            <w:r>
              <w:rPr>
                <w:rFonts w:ascii="微软雅黑" w:hAnsi="微软雅黑" w:eastAsia="微软雅黑"/>
                <w:b w:val="0"/>
                <w:i w:val="0"/>
                <w:color w:val="1F2937"/>
                <w:sz w:val="18"/>
              </w:rPr>
              <w:t>时间戳</w:t>
              <w:br/>
              <w:t>(Time)</w:t>
            </w:r>
          </w:p>
        </w:tc>
        <w:tc>
          <w:tcPr>
            <w:tcW w:type="dxa" w:w="2592"/>
            <w:shd w:fill="FFFFFF"/>
            <w:tcMar>
              <w:top w:w="100" w:type="dxa"/>
              <w:bottom w:w="100" w:type="dxa"/>
              <w:left w:w="140" w:type="dxa"/>
              <w:right w:w="140" w:type="dxa"/>
            </w:tcMar>
          </w:tcPr>
          <w:p>
            <w:pPr>
              <w:spacing w:before="40" w:after="40" w:line="276" w:lineRule="auto"/>
              <w:jc w:val="left"/>
            </w:pPr>
            <w:r>
              <w:rPr>
                <w:rFonts w:ascii="微软雅黑" w:hAnsi="微软雅黑" w:eastAsia="微软雅黑"/>
                <w:b w:val="0"/>
                <w:i w:val="0"/>
                <w:color w:val="1F2937"/>
                <w:sz w:val="18"/>
              </w:rPr>
              <w:t>主行：时分秒 (10:06:28)</w:t>
              <w:br/>
              <w:t>次行：相对时间 (2m前)</w:t>
            </w:r>
          </w:p>
        </w:tc>
        <w:tc>
          <w:tcPr>
            <w:tcW w:type="dxa" w:w="2736"/>
            <w:shd w:fill="FFFFFF"/>
            <w:tcMar>
              <w:top w:w="100" w:type="dxa"/>
              <w:bottom w:w="100" w:type="dxa"/>
              <w:left w:w="140" w:type="dxa"/>
              <w:right w:w="140" w:type="dxa"/>
            </w:tcMar>
          </w:tcPr>
          <w:p>
            <w:pPr>
              <w:spacing w:before="40" w:after="40" w:line="276" w:lineRule="auto"/>
              <w:jc w:val="left"/>
            </w:pPr>
            <w:r>
              <w:rPr>
                <w:rFonts w:ascii="微软雅黑" w:hAnsi="微软雅黑" w:eastAsia="微软雅黑"/>
                <w:b w:val="0"/>
                <w:i w:val="0"/>
                <w:color w:val="1F2937"/>
                <w:sz w:val="18"/>
              </w:rPr>
              <w:t>微秒级高精度本地时间戳记录。</w:t>
            </w:r>
          </w:p>
        </w:tc>
        <w:tc>
          <w:tcPr>
            <w:tcW w:type="dxa" w:w="2304"/>
            <w:shd w:fill="FFFFFF"/>
            <w:tcMar>
              <w:top w:w="100" w:type="dxa"/>
              <w:bottom w:w="100" w:type="dxa"/>
              <w:left w:w="140" w:type="dxa"/>
              <w:right w:w="140" w:type="dxa"/>
            </w:tcMar>
          </w:tcPr>
          <w:p>
            <w:pPr>
              <w:spacing w:before="40" w:after="40" w:line="276" w:lineRule="auto"/>
              <w:jc w:val="left"/>
            </w:pPr>
            <w:r>
              <w:rPr>
                <w:rFonts w:ascii="微软雅黑" w:hAnsi="微软雅黑" w:eastAsia="微软雅黑"/>
                <w:b w:val="0"/>
                <w:i w:val="0"/>
                <w:color w:val="1F2937"/>
                <w:sz w:val="18"/>
              </w:rPr>
              <w:t>按时间倒序追踪每一次推演历史。</w:t>
            </w:r>
          </w:p>
        </w:tc>
      </w:tr>
    </w:tbl>
    <w:p>
      <w:pPr>
        <w:spacing w:before="0" w:after="80"/>
      </w:pPr>
    </w:p>
    <w:p>
      <w:pPr>
        <w:keepNext/>
        <w:spacing w:before="220" w:after="80"/>
      </w:pPr>
      <w:r>
        <w:rPr>
          <w:rFonts w:ascii="微软雅黑" w:hAnsi="微软雅黑" w:eastAsia="微软雅黑"/>
          <w:b/>
          <w:i w:val="0"/>
          <w:color w:val="2563EB"/>
          <w:sz w:val="25"/>
        </w:rPr>
        <w:t>2.1 Prompt Cache 算力节约精准测算</w:t>
      </w:r>
    </w:p>
    <w:p>
      <w:pPr>
        <w:spacing w:before="0" w:after="80" w:line="300" w:lineRule="auto"/>
        <w:jc w:val="left"/>
      </w:pPr>
      <w:r>
        <w:rPr>
          <w:rFonts w:ascii="微软雅黑" w:hAnsi="微软雅黑" w:eastAsia="微软雅黑"/>
          <w:b w:val="0"/>
          <w:i w:val="0"/>
          <w:color w:val="1F2937"/>
          <w:sz w:val="21"/>
        </w:rPr>
        <w:t>Antigravity 具备原生 Context Caching 上下文缓存加速能力。在当前研发会话中，累计捕获到了超过 68.0M 的 Prompt Cache 命中 Token。</w:t>
      </w:r>
    </w:p>
    <w:p>
      <w:pPr>
        <w:spacing w:before="0" w:after="80" w:line="300" w:lineRule="auto"/>
        <w:jc w:val="left"/>
      </w:pPr>
      <w:r>
        <w:rPr>
          <w:rFonts w:ascii="微软雅黑" w:hAnsi="微软雅黑" w:eastAsia="微软雅黑"/>
          <w:b w:val="0"/>
          <w:i w:val="0"/>
          <w:color w:val="1F2937"/>
          <w:sz w:val="21"/>
        </w:rPr>
        <w:t>工作台在流量监控面板顶部设立了【Prompt Cache 深度价值与时序趋势看板】：</w:t>
      </w:r>
    </w:p>
    <w:p>
      <w:pPr>
        <w:pStyle w:val="ListBullet"/>
        <w:spacing w:before="20" w:after="60" w:line="300" w:lineRule="auto"/>
      </w:pPr>
      <w:r>
        <w:rPr>
          <w:rFonts w:ascii="微软雅黑" w:hAnsi="微软雅黑" w:eastAsia="微软雅黑"/>
          <w:b/>
          <w:i w:val="0"/>
          <w:color w:val="1F2937"/>
          <w:sz w:val="21"/>
        </w:rPr>
        <w:t>缓存节约比例：</w:t>
      </w:r>
      <w:r>
        <w:rPr>
          <w:rFonts w:ascii="微软雅黑" w:hAnsi="微软雅黑" w:eastAsia="微软雅黑"/>
          <w:b w:val="0"/>
          <w:i w:val="0"/>
          <w:color w:val="1F2937"/>
          <w:sz w:val="21"/>
        </w:rPr>
        <w:t>当前累计缓存节约率高达 95.3%，即 95% 以上的重复长上下文（工程代码树、需求文档、历史对话）均通过内存缓存极速读取，无需重新参与密集计算。</w:t>
      </w:r>
    </w:p>
    <w:p>
      <w:pPr>
        <w:pStyle w:val="ListBullet"/>
        <w:spacing w:before="20" w:after="60" w:line="300" w:lineRule="auto"/>
      </w:pPr>
      <w:r>
        <w:rPr>
          <w:rFonts w:ascii="微软雅黑" w:hAnsi="微软雅黑" w:eastAsia="微软雅黑"/>
          <w:b/>
          <w:i w:val="0"/>
          <w:color w:val="1F2937"/>
          <w:sz w:val="21"/>
        </w:rPr>
        <w:t>等效成本节约金额：</w:t>
      </w:r>
      <w:r>
        <w:rPr>
          <w:rFonts w:ascii="微软雅黑" w:hAnsi="微软雅黑" w:eastAsia="微软雅黑"/>
          <w:b w:val="0"/>
          <w:i w:val="0"/>
          <w:color w:val="1F2937"/>
          <w:sz w:val="21"/>
        </w:rPr>
        <w:t>以行业标准大模型价格基准（Prompt 输入 $3.0/1M Tokens，缓存读取 $0.3/1M Tokens，净节约 $2.7/1M）自动测算，已累计为团队节省约 $180+ 美元（折合人民币约 ¥1,300+ 元）。</w:t>
      </w:r>
    </w:p>
    <w:p>
      <w:pPr>
        <w:pStyle w:val="ListBullet"/>
        <w:spacing w:before="20" w:after="60" w:line="300" w:lineRule="auto"/>
      </w:pPr>
      <w:r>
        <w:rPr>
          <w:rFonts w:ascii="微软雅黑" w:hAnsi="微软雅黑" w:eastAsia="微软雅黑"/>
          <w:b/>
          <w:i w:val="0"/>
          <w:color w:val="1F2937"/>
          <w:sz w:val="21"/>
        </w:rPr>
        <w:t>时序趋势柱状图：</w:t>
      </w:r>
      <w:r>
        <w:rPr>
          <w:rFonts w:ascii="微软雅黑" w:hAnsi="微软雅黑" w:eastAsia="微软雅黑"/>
          <w:b w:val="0"/>
          <w:i w:val="0"/>
          <w:color w:val="1F2937"/>
          <w:sz w:val="21"/>
        </w:rPr>
        <w:t>采用纯原生轻量 CSS/SVG 堆叠柱状图，实时直观展示最近 24 次推演中【输入（紫）/ 输出（绿）/ 缓存命中（青）】的体积构成与动态起伏。</w:t>
      </w:r>
    </w:p>
    <w:p>
      <w:pPr>
        <w:keepNext/>
        <w:spacing w:before="220" w:after="80"/>
      </w:pPr>
      <w:r>
        <w:rPr>
          <w:rFonts w:ascii="微软雅黑" w:hAnsi="微软雅黑" w:eastAsia="微软雅黑"/>
          <w:b/>
          <w:i w:val="0"/>
          <w:color w:val="2563EB"/>
          <w:sz w:val="25"/>
        </w:rPr>
        <w:t>2.2 微信端 /traffic 快捷监控与用量告警</w:t>
      </w:r>
    </w:p>
    <w:p>
      <w:pPr>
        <w:spacing w:before="0" w:after="80" w:line="300" w:lineRule="auto"/>
        <w:jc w:val="left"/>
      </w:pPr>
      <w:r>
        <w:rPr>
          <w:rFonts w:ascii="微软雅黑" w:hAnsi="微软雅黑" w:eastAsia="微软雅黑"/>
          <w:b w:val="0"/>
          <w:i w:val="0"/>
          <w:color w:val="1F2937"/>
          <w:sz w:val="21"/>
        </w:rPr>
        <w:t>用户离开电脑后，无需打开浏览器，直接在手机微信中向助手发送 /traffic、/tokens 或自然语言“查看流量”、“查Token消耗”，机器人将在 1 秒内回传精美的监控摘要卡片：</w:t>
      </w:r>
    </w:p>
    <w:tbl>
      <w:tblPr>
        <w:tblW w:type="auto" w:w="0"/>
        <w:jc w:val="center"/>
        <w:tblLook w:firstColumn="1" w:firstRow="1" w:lastColumn="0" w:lastRow="0" w:noHBand="0" w:noVBand="1" w:val="04A0"/>
      </w:tblPr>
      <w:tblGrid>
        <w:gridCol w:w="9360"/>
      </w:tblGrid>
      <w:tr>
        <w:tc>
          <w:tcPr>
            <w:tcW w:type="dxa" w:w="9360"/>
            <w:shd w:fill="F0F4F8"/>
            <w:tcBorders>
              <w:top w:val="none"/>
              <w:left w:val="single" w:sz="24" w:space="0" w:color="2563EB"/>
              <w:bottom w:val="none"/>
              <w:right w:val="none"/>
            </w:tcBorders>
            <w:tcMar>
              <w:top w:w="120" w:type="dxa"/>
              <w:bottom w:w="120" w:type="dxa"/>
              <w:left w:w="180" w:type="dxa"/>
              <w:right w:w="180" w:type="dxa"/>
            </w:tcMar>
          </w:tcPr>
          <w:p>
            <w:pPr>
              <w:spacing w:before="40" w:after="40" w:line="300" w:lineRule="auto"/>
            </w:pPr>
            <w:r>
              <w:rPr>
                <w:rFonts w:ascii="微软雅黑" w:hAnsi="微软雅黑" w:eastAsia="微软雅黑"/>
                <w:b/>
                <w:i w:val="0"/>
                <w:color w:val="2563EB"/>
                <w:sz w:val="20"/>
              </w:rPr>
              <w:t>📱 微信端实时回复样例：</w:t>
            </w:r>
            <w:r>
              <w:rPr>
                <w:rFonts w:ascii="微软雅黑" w:hAnsi="微软雅黑" w:eastAsia="微软雅黑"/>
                <w:b w:val="0"/>
                <w:i w:val="0"/>
                <w:color w:val="1F2937"/>
                <w:sz w:val="20"/>
              </w:rPr>
              <w:t>🌐【Antigravity 研发流量与 Token 监控】</w:t>
              <w:br/>
              <w:t>━━━━━━━━━━━━━━━━━━━━</w:t>
              <w:br/>
              <w:t>📊 请求吞吐：今日累计 500 次调用</w:t>
              <w:br/>
              <w:t>🎯 运行健康：成功率 100.0% (200: 500 | 429: 0 | 异常: 0)</w:t>
              <w:br/>
              <w:t>⏱️ 响应耗时：平均 2.61s</w:t>
              <w:br/>
              <w:br/>
              <w:t>⚡ Token 消耗与成本分析：</w:t>
              <w:br/>
              <w:t>• 📥 输入 Token：3.2M</w:t>
              <w:br/>
              <w:t>• 📤 输出 Token：260k</w:t>
              <w:br/>
              <w:t>• 🛡️ 缓存命中：66.7M (节约率: 95.1%)</w:t>
              <w:br/>
              <w:t>• 💰 累计节约成本：约 $180.10 (≈ ¥1305.7)</w:t>
              <w:br/>
              <w:br/>
              <w:t>💻 详细调用链路、模型映射与 Trace 日志：</w:t>
              <w:br/>
              <w:t>• 电脑浏览器打开: http://127.0.0.1:18765</w:t>
              <w:br/>
              <w:t>• 切换至【🌐 流量】面板查看 1:1 API Gateway 日志</w:t>
              <w:br/>
              <w:t>━━━━━━━━━━━━━━━━━━━━</w:t>
            </w:r>
          </w:p>
        </w:tc>
      </w:tr>
    </w:tbl>
    <w:p>
      <w:pPr>
        <w:spacing w:before="0" w:after="80"/>
      </w:pPr>
    </w:p>
    <w:p>
      <w:pPr>
        <w:keepNext/>
        <w:spacing w:before="320" w:after="120"/>
      </w:pPr>
      <w:r>
        <w:rPr>
          <w:rFonts w:ascii="微软雅黑" w:hAnsi="微软雅黑" w:eastAsia="微软雅黑"/>
          <w:b/>
          <w:i w:val="0"/>
          <w:color w:val="1E3A8A"/>
          <w:sz w:val="30"/>
        </w:rPr>
        <w:t>三、 移动端敏捷研发与十项全能指令体系</w:t>
      </w:r>
    </w:p>
    <w:p>
      <w:pPr>
        <w:spacing w:before="0" w:after="80" w:line="300" w:lineRule="auto"/>
        <w:jc w:val="left"/>
      </w:pPr>
      <w:r>
        <w:rPr>
          <w:rFonts w:ascii="微软雅黑" w:hAnsi="微软雅黑" w:eastAsia="微软雅黑"/>
          <w:b w:val="0"/>
          <w:i w:val="0"/>
          <w:color w:val="1F2937"/>
          <w:sz w:val="21"/>
        </w:rPr>
        <w:t>除流量监控外，工作台为移动端打造了完整的研发操控中枢：</w:t>
      </w:r>
    </w:p>
    <w:tbl>
      <w:tblPr>
        <w:tblW w:type="auto" w:w="0"/>
        <w:jc w:val="center"/>
        <w:tblLayout w:type="fixed"/>
        <w:tblLook w:firstColumn="1" w:firstRow="1" w:lastColumn="0" w:lastRow="0" w:noHBand="0" w:noVBand="1" w:val="04A0"/>
        <w:tblBorders>
          <w:top w:val="single" w:sz="4" w:space="0" w:color="D1D5DB"/>
          <w:left w:val="none"/>
          <w:bottom w:val="single" w:sz="8" w:space="0" w:color="9CA3AF"/>
          <w:right w:val="none"/>
          <w:insideH w:val="single" w:sz="4" w:space="0" w:color="E5E7EB"/>
          <w:insideV w:val="none"/>
        </w:tblBorders>
      </w:tblPr>
      <w:tblGrid>
        <w:gridCol w:w="3120"/>
        <w:gridCol w:w="3120"/>
        <w:gridCol w:w="3120"/>
      </w:tblGrid>
      <w:tr>
        <w:tc>
          <w:tcPr>
            <w:tcW w:type="dxa" w:w="2016"/>
            <w:shd w:fill="1E3A8A"/>
            <w:tcMar>
              <w:top w:w="120" w:type="dxa"/>
              <w:bottom w:w="120" w:type="dxa"/>
              <w:left w:w="140" w:type="dxa"/>
              <w:right w:w="140" w:type="dxa"/>
            </w:tcMar>
          </w:tcPr>
          <w:p>
            <w:pPr>
              <w:spacing w:before="40" w:after="40"/>
              <w:jc w:val="center"/>
            </w:pPr>
            <w:r>
              <w:rPr>
                <w:rFonts w:ascii="微软雅黑" w:hAnsi="微软雅黑" w:eastAsia="微软雅黑"/>
                <w:b/>
                <w:i w:val="0"/>
                <w:color w:val="FFFFFF"/>
                <w:sz w:val="19"/>
              </w:rPr>
              <w:t>功能分类</w:t>
            </w:r>
          </w:p>
        </w:tc>
        <w:tc>
          <w:tcPr>
            <w:tcW w:type="dxa" w:w="3168"/>
            <w:shd w:fill="1E3A8A"/>
            <w:tcMar>
              <w:top w:w="120" w:type="dxa"/>
              <w:bottom w:w="120" w:type="dxa"/>
              <w:left w:w="140" w:type="dxa"/>
              <w:right w:w="140" w:type="dxa"/>
            </w:tcMar>
          </w:tcPr>
          <w:p>
            <w:pPr>
              <w:spacing w:before="40" w:after="40"/>
              <w:jc w:val="center"/>
            </w:pPr>
            <w:r>
              <w:rPr>
                <w:rFonts w:ascii="微软雅黑" w:hAnsi="微软雅黑" w:eastAsia="微软雅黑"/>
                <w:b/>
                <w:i w:val="0"/>
                <w:color w:val="FFFFFF"/>
                <w:sz w:val="19"/>
              </w:rPr>
              <w:t>微信指令 / 触发范例</w:t>
            </w:r>
          </w:p>
        </w:tc>
        <w:tc>
          <w:tcPr>
            <w:tcW w:type="dxa" w:w="4176"/>
            <w:shd w:fill="1E3A8A"/>
            <w:tcMar>
              <w:top w:w="120" w:type="dxa"/>
              <w:bottom w:w="120" w:type="dxa"/>
              <w:left w:w="140" w:type="dxa"/>
              <w:right w:w="140" w:type="dxa"/>
            </w:tcMar>
          </w:tcPr>
          <w:p>
            <w:pPr>
              <w:spacing w:before="40" w:after="40"/>
              <w:jc w:val="center"/>
            </w:pPr>
            <w:r>
              <w:rPr>
                <w:rFonts w:ascii="微软雅黑" w:hAnsi="微软雅黑" w:eastAsia="微软雅黑"/>
                <w:b/>
                <w:i w:val="0"/>
                <w:color w:val="FFFFFF"/>
                <w:sz w:val="19"/>
              </w:rPr>
              <w:t>核心能力与工作流机制</w:t>
            </w:r>
          </w:p>
        </w:tc>
      </w:tr>
      <w:tr>
        <w:tc>
          <w:tcPr>
            <w:tcW w:type="dxa" w:w="2016"/>
            <w:shd w:fill="FFFFFF"/>
            <w:tcMar>
              <w:top w:w="100" w:type="dxa"/>
              <w:bottom w:w="100" w:type="dxa"/>
              <w:left w:w="140" w:type="dxa"/>
              <w:right w:w="140" w:type="dxa"/>
            </w:tcMar>
          </w:tcPr>
          <w:p>
            <w:pPr>
              <w:spacing w:before="40" w:after="40" w:line="276" w:lineRule="auto"/>
              <w:jc w:val="center"/>
            </w:pPr>
            <w:r>
              <w:rPr>
                <w:rFonts w:ascii="微软雅黑" w:hAnsi="微软雅黑" w:eastAsia="微软雅黑"/>
                <w:b w:val="0"/>
                <w:i w:val="0"/>
                <w:color w:val="1F2937"/>
                <w:sz w:val="18"/>
              </w:rPr>
              <w:t>流量与监控</w:t>
            </w:r>
          </w:p>
        </w:tc>
        <w:tc>
          <w:tcPr>
            <w:tcW w:type="dxa" w:w="3168"/>
            <w:shd w:fill="FFFFFF"/>
            <w:tcMar>
              <w:top w:w="100" w:type="dxa"/>
              <w:bottom w:w="100" w:type="dxa"/>
              <w:left w:w="140" w:type="dxa"/>
              <w:right w:w="140" w:type="dxa"/>
            </w:tcMar>
          </w:tcPr>
          <w:p>
            <w:pPr>
              <w:spacing w:before="40" w:after="40" w:line="276" w:lineRule="auto"/>
              <w:jc w:val="left"/>
            </w:pPr>
            <w:r>
              <w:rPr>
                <w:rFonts w:ascii="微软雅黑" w:hAnsi="微软雅黑" w:eastAsia="微软雅黑"/>
                <w:b w:val="0"/>
                <w:i w:val="0"/>
                <w:color w:val="1F2937"/>
                <w:sz w:val="18"/>
              </w:rPr>
              <w:t>/traffic / /tokens</w:t>
              <w:br/>
              <w:t>【查看流量】/【查Token】</w:t>
            </w:r>
          </w:p>
        </w:tc>
        <w:tc>
          <w:tcPr>
            <w:tcW w:type="dxa" w:w="4176"/>
            <w:shd w:fill="FFFFFF"/>
            <w:tcMar>
              <w:top w:w="100" w:type="dxa"/>
              <w:bottom w:w="100" w:type="dxa"/>
              <w:left w:w="140" w:type="dxa"/>
              <w:right w:w="140" w:type="dxa"/>
            </w:tcMar>
          </w:tcPr>
          <w:p>
            <w:pPr>
              <w:spacing w:before="40" w:after="40" w:line="276" w:lineRule="auto"/>
              <w:jc w:val="left"/>
            </w:pPr>
            <w:r>
              <w:rPr>
                <w:rFonts w:ascii="微软雅黑" w:hAnsi="微软雅黑" w:eastAsia="微软雅黑"/>
                <w:b w:val="0"/>
                <w:i w:val="0"/>
                <w:color w:val="1F2937"/>
                <w:sz w:val="18"/>
              </w:rPr>
              <w:t>即时查询今日 API 调用频次、成功率、Token 吞吐、缓存节约量与累计节省金额。</w:t>
            </w:r>
          </w:p>
        </w:tc>
      </w:tr>
      <w:tr>
        <w:tc>
          <w:tcPr>
            <w:tcW w:type="dxa" w:w="2016"/>
            <w:shd w:fill="F9FAFB"/>
            <w:tcMar>
              <w:top w:w="100" w:type="dxa"/>
              <w:bottom w:w="100" w:type="dxa"/>
              <w:left w:w="140" w:type="dxa"/>
              <w:right w:w="140" w:type="dxa"/>
            </w:tcMar>
          </w:tcPr>
          <w:p>
            <w:pPr>
              <w:spacing w:before="40" w:after="40" w:line="276" w:lineRule="auto"/>
              <w:jc w:val="center"/>
            </w:pPr>
            <w:r>
              <w:rPr>
                <w:rFonts w:ascii="微软雅黑" w:hAnsi="微软雅黑" w:eastAsia="微软雅黑"/>
                <w:b w:val="0"/>
                <w:i w:val="0"/>
                <w:color w:val="1F2937"/>
                <w:sz w:val="18"/>
              </w:rPr>
              <w:t>语音转指令</w:t>
            </w:r>
          </w:p>
        </w:tc>
        <w:tc>
          <w:tcPr>
            <w:tcW w:type="dxa" w:w="3168"/>
            <w:shd w:fill="F9FAFB"/>
            <w:tcMar>
              <w:top w:w="100" w:type="dxa"/>
              <w:bottom w:w="100" w:type="dxa"/>
              <w:left w:w="140" w:type="dxa"/>
              <w:right w:w="140" w:type="dxa"/>
            </w:tcMar>
          </w:tcPr>
          <w:p>
            <w:pPr>
              <w:spacing w:before="40" w:after="40" w:line="276" w:lineRule="auto"/>
              <w:jc w:val="left"/>
            </w:pPr>
            <w:r>
              <w:rPr>
                <w:rFonts w:ascii="微软雅黑" w:hAnsi="微软雅黑" w:eastAsia="微软雅黑"/>
                <w:b w:val="0"/>
                <w:i w:val="0"/>
                <w:color w:val="1F2937"/>
                <w:sz w:val="18"/>
              </w:rPr>
              <w:t>发送微信长按语音条</w:t>
              <w:br/>
              <w:t>[语音: 帮我跑一下单元测试]</w:t>
            </w:r>
          </w:p>
        </w:tc>
        <w:tc>
          <w:tcPr>
            <w:tcW w:type="dxa" w:w="4176"/>
            <w:shd w:fill="F9FAFB"/>
            <w:tcMar>
              <w:top w:w="100" w:type="dxa"/>
              <w:bottom w:w="100" w:type="dxa"/>
              <w:left w:w="140" w:type="dxa"/>
              <w:right w:w="140" w:type="dxa"/>
            </w:tcMar>
          </w:tcPr>
          <w:p>
            <w:pPr>
              <w:spacing w:before="40" w:after="40" w:line="276" w:lineRule="auto"/>
              <w:jc w:val="left"/>
            </w:pPr>
            <w:r>
              <w:rPr>
                <w:rFonts w:ascii="微软雅黑" w:hAnsi="微软雅黑" w:eastAsia="微软雅黑"/>
                <w:b w:val="0"/>
                <w:i w:val="0"/>
                <w:color w:val="1F2937"/>
                <w:sz w:val="18"/>
              </w:rPr>
              <w:t>接收腾讯 iLink 语音流并清洗转录，提取核心动词直接转化为 IDE 任务执行流水。</w:t>
            </w:r>
          </w:p>
        </w:tc>
      </w:tr>
      <w:tr>
        <w:tc>
          <w:tcPr>
            <w:tcW w:type="dxa" w:w="2016"/>
            <w:shd w:fill="FFFFFF"/>
            <w:tcMar>
              <w:top w:w="100" w:type="dxa"/>
              <w:bottom w:w="100" w:type="dxa"/>
              <w:left w:w="140" w:type="dxa"/>
              <w:right w:w="140" w:type="dxa"/>
            </w:tcMar>
          </w:tcPr>
          <w:p>
            <w:pPr>
              <w:spacing w:before="40" w:after="40" w:line="276" w:lineRule="auto"/>
              <w:jc w:val="center"/>
            </w:pPr>
            <w:r>
              <w:rPr>
                <w:rFonts w:ascii="微软雅黑" w:hAnsi="微软雅黑" w:eastAsia="微软雅黑"/>
                <w:b w:val="0"/>
                <w:i w:val="0"/>
                <w:color w:val="1F2937"/>
                <w:sz w:val="18"/>
              </w:rPr>
              <w:t>视觉改代码</w:t>
            </w:r>
          </w:p>
        </w:tc>
        <w:tc>
          <w:tcPr>
            <w:tcW w:type="dxa" w:w="3168"/>
            <w:shd w:fill="FFFFFF"/>
            <w:tcMar>
              <w:top w:w="100" w:type="dxa"/>
              <w:bottom w:w="100" w:type="dxa"/>
              <w:left w:w="140" w:type="dxa"/>
              <w:right w:w="140" w:type="dxa"/>
            </w:tcMar>
          </w:tcPr>
          <w:p>
            <w:pPr>
              <w:spacing w:before="40" w:after="40" w:line="276" w:lineRule="auto"/>
              <w:jc w:val="left"/>
            </w:pPr>
            <w:r>
              <w:rPr>
                <w:rFonts w:ascii="微软雅黑" w:hAnsi="微软雅黑" w:eastAsia="微软雅黑"/>
                <w:b w:val="0"/>
                <w:i w:val="0"/>
                <w:color w:val="1F2937"/>
                <w:sz w:val="18"/>
              </w:rPr>
              <w:t>/vision &lt;图片路径&gt; [需求]</w:t>
              <w:br/>
              <w:t>发送报错截图或设计参考图</w:t>
            </w:r>
          </w:p>
        </w:tc>
        <w:tc>
          <w:tcPr>
            <w:tcW w:type="dxa" w:w="4176"/>
            <w:shd w:fill="FFFFFF"/>
            <w:tcMar>
              <w:top w:w="100" w:type="dxa"/>
              <w:bottom w:w="100" w:type="dxa"/>
              <w:left w:w="140" w:type="dxa"/>
              <w:right w:w="140" w:type="dxa"/>
            </w:tcMar>
          </w:tcPr>
          <w:p>
            <w:pPr>
              <w:spacing w:before="40" w:after="40" w:line="276" w:lineRule="auto"/>
              <w:jc w:val="left"/>
            </w:pPr>
            <w:r>
              <w:rPr>
                <w:rFonts w:ascii="微软雅黑" w:hAnsi="微软雅黑" w:eastAsia="微软雅黑"/>
                <w:b w:val="0"/>
                <w:i w:val="0"/>
                <w:color w:val="1F2937"/>
                <w:sz w:val="18"/>
              </w:rPr>
              <w:t>多模态视觉引擎解析图片UI布局与报错堆栈，自动在工程中实施代码变更。</w:t>
            </w:r>
          </w:p>
        </w:tc>
      </w:tr>
      <w:tr>
        <w:tc>
          <w:tcPr>
            <w:tcW w:type="dxa" w:w="2016"/>
            <w:shd w:fill="F9FAFB"/>
            <w:tcMar>
              <w:top w:w="100" w:type="dxa"/>
              <w:bottom w:w="100" w:type="dxa"/>
              <w:left w:w="140" w:type="dxa"/>
              <w:right w:w="140" w:type="dxa"/>
            </w:tcMar>
          </w:tcPr>
          <w:p>
            <w:pPr>
              <w:spacing w:before="40" w:after="40" w:line="276" w:lineRule="auto"/>
              <w:jc w:val="center"/>
            </w:pPr>
            <w:r>
              <w:rPr>
                <w:rFonts w:ascii="微软雅黑" w:hAnsi="微软雅黑" w:eastAsia="微软雅黑"/>
                <w:b w:val="0"/>
                <w:i w:val="0"/>
                <w:color w:val="1F2937"/>
                <w:sz w:val="18"/>
              </w:rPr>
              <w:t>界面快照直推</w:t>
            </w:r>
          </w:p>
        </w:tc>
        <w:tc>
          <w:tcPr>
            <w:tcW w:type="dxa" w:w="3168"/>
            <w:shd w:fill="F9FAFB"/>
            <w:tcMar>
              <w:top w:w="100" w:type="dxa"/>
              <w:bottom w:w="100" w:type="dxa"/>
              <w:left w:w="140" w:type="dxa"/>
              <w:right w:w="140" w:type="dxa"/>
            </w:tcMar>
          </w:tcPr>
          <w:p>
            <w:pPr>
              <w:spacing w:before="40" w:after="40" w:line="276" w:lineRule="auto"/>
              <w:jc w:val="left"/>
            </w:pPr>
            <w:r>
              <w:rPr>
                <w:rFonts w:ascii="微软雅黑" w:hAnsi="微软雅黑" w:eastAsia="微软雅黑"/>
                <w:b w:val="0"/>
                <w:i w:val="0"/>
                <w:color w:val="1F2937"/>
                <w:sz w:val="18"/>
              </w:rPr>
              <w:t>/ui 或【查看效果】</w:t>
              <w:br/>
              <w:t>【截屏】/【前端效果图发我】</w:t>
            </w:r>
          </w:p>
        </w:tc>
        <w:tc>
          <w:tcPr>
            <w:tcW w:type="dxa" w:w="4176"/>
            <w:shd w:fill="F9FAFB"/>
            <w:tcMar>
              <w:top w:w="100" w:type="dxa"/>
              <w:bottom w:w="100" w:type="dxa"/>
              <w:left w:w="140" w:type="dxa"/>
              <w:right w:w="140" w:type="dxa"/>
            </w:tcMar>
          </w:tcPr>
          <w:p>
            <w:pPr>
              <w:spacing w:before="40" w:after="40" w:line="276" w:lineRule="auto"/>
              <w:jc w:val="left"/>
            </w:pPr>
            <w:r>
              <w:rPr>
                <w:rFonts w:ascii="微软雅黑" w:hAnsi="微软雅黑" w:eastAsia="微软雅黑"/>
                <w:b w:val="0"/>
                <w:i w:val="0"/>
                <w:color w:val="1F2937"/>
                <w:sz w:val="18"/>
              </w:rPr>
              <w:t>毫秒级捕获电脑本地屏幕或前端页面渲染，生成高清原图并推送至手机微信。</w:t>
            </w:r>
          </w:p>
        </w:tc>
      </w:tr>
      <w:tr>
        <w:tc>
          <w:tcPr>
            <w:tcW w:type="dxa" w:w="2016"/>
            <w:shd w:fill="FFFFFF"/>
            <w:tcMar>
              <w:top w:w="100" w:type="dxa"/>
              <w:bottom w:w="100" w:type="dxa"/>
              <w:left w:w="140" w:type="dxa"/>
              <w:right w:w="140" w:type="dxa"/>
            </w:tcMar>
          </w:tcPr>
          <w:p>
            <w:pPr>
              <w:spacing w:before="40" w:after="40" w:line="276" w:lineRule="auto"/>
              <w:jc w:val="center"/>
            </w:pPr>
            <w:r>
              <w:rPr>
                <w:rFonts w:ascii="微软雅黑" w:hAnsi="微软雅黑" w:eastAsia="微软雅黑"/>
                <w:b w:val="0"/>
                <w:i w:val="0"/>
                <w:color w:val="1F2937"/>
                <w:sz w:val="18"/>
              </w:rPr>
              <w:t>工程文件回传</w:t>
            </w:r>
          </w:p>
        </w:tc>
        <w:tc>
          <w:tcPr>
            <w:tcW w:type="dxa" w:w="3168"/>
            <w:shd w:fill="FFFFFF"/>
            <w:tcMar>
              <w:top w:w="100" w:type="dxa"/>
              <w:bottom w:w="100" w:type="dxa"/>
              <w:left w:w="140" w:type="dxa"/>
              <w:right w:w="140" w:type="dxa"/>
            </w:tcMar>
          </w:tcPr>
          <w:p>
            <w:pPr>
              <w:spacing w:before="40" w:after="40" w:line="276" w:lineRule="auto"/>
              <w:jc w:val="left"/>
            </w:pPr>
            <w:r>
              <w:rPr>
                <w:rFonts w:ascii="微软雅黑" w:hAnsi="微软雅黑" w:eastAsia="微软雅黑"/>
                <w:b w:val="0"/>
                <w:i w:val="0"/>
                <w:color w:val="1F2937"/>
                <w:sz w:val="18"/>
              </w:rPr>
              <w:t>发最新文件 / 发文件 1</w:t>
              <w:br/>
              <w:t>发送 D:\项目\说明书.docx</w:t>
            </w:r>
          </w:p>
        </w:tc>
        <w:tc>
          <w:tcPr>
            <w:tcW w:type="dxa" w:w="4176"/>
            <w:shd w:fill="FFFFFF"/>
            <w:tcMar>
              <w:top w:w="100" w:type="dxa"/>
              <w:bottom w:w="100" w:type="dxa"/>
              <w:left w:w="140" w:type="dxa"/>
              <w:right w:w="140" w:type="dxa"/>
            </w:tcMar>
          </w:tcPr>
          <w:p>
            <w:pPr>
              <w:spacing w:before="40" w:after="40" w:line="276" w:lineRule="auto"/>
              <w:jc w:val="left"/>
            </w:pPr>
            <w:r>
              <w:rPr>
                <w:rFonts w:ascii="微软雅黑" w:hAnsi="微软雅黑" w:eastAsia="微软雅黑"/>
                <w:b w:val="0"/>
                <w:i w:val="0"/>
                <w:color w:val="1F2937"/>
                <w:sz w:val="18"/>
              </w:rPr>
              <w:t>通过腾讯 CDN 加密信道，秒级将电脑任意文档（Word/PDF/Excel/代码）推送到微信！</w:t>
            </w:r>
          </w:p>
        </w:tc>
      </w:tr>
      <w:tr>
        <w:tc>
          <w:tcPr>
            <w:tcW w:type="dxa" w:w="2016"/>
            <w:shd w:fill="F9FAFB"/>
            <w:tcMar>
              <w:top w:w="100" w:type="dxa"/>
              <w:bottom w:w="100" w:type="dxa"/>
              <w:left w:w="140" w:type="dxa"/>
              <w:right w:w="140" w:type="dxa"/>
            </w:tcMar>
          </w:tcPr>
          <w:p>
            <w:pPr>
              <w:spacing w:before="40" w:after="40" w:line="276" w:lineRule="auto"/>
              <w:jc w:val="center"/>
            </w:pPr>
            <w:r>
              <w:rPr>
                <w:rFonts w:ascii="微软雅黑" w:hAnsi="微软雅黑" w:eastAsia="微软雅黑"/>
                <w:b w:val="0"/>
                <w:i w:val="0"/>
                <w:color w:val="1F2937"/>
                <w:sz w:val="18"/>
              </w:rPr>
              <w:t>多工程漫游</w:t>
            </w:r>
          </w:p>
        </w:tc>
        <w:tc>
          <w:tcPr>
            <w:tcW w:type="dxa" w:w="3168"/>
            <w:shd w:fill="F9FAFB"/>
            <w:tcMar>
              <w:top w:w="100" w:type="dxa"/>
              <w:bottom w:w="100" w:type="dxa"/>
              <w:left w:w="140" w:type="dxa"/>
              <w:right w:w="140" w:type="dxa"/>
            </w:tcMar>
          </w:tcPr>
          <w:p>
            <w:pPr>
              <w:spacing w:before="40" w:after="40" w:line="276" w:lineRule="auto"/>
              <w:jc w:val="left"/>
            </w:pPr>
            <w:r>
              <w:rPr>
                <w:rFonts w:ascii="微软雅黑" w:hAnsi="微软雅黑" w:eastAsia="微软雅黑"/>
                <w:b w:val="0"/>
                <w:i w:val="0"/>
                <w:color w:val="1F2937"/>
                <w:sz w:val="18"/>
              </w:rPr>
              <w:t>/workspaces / /cd &lt;工程名&gt;</w:t>
              <w:br/>
              <w:t>/newproject &lt;名称&gt; [路径]</w:t>
            </w:r>
          </w:p>
        </w:tc>
        <w:tc>
          <w:tcPr>
            <w:tcW w:type="dxa" w:w="4176"/>
            <w:shd w:fill="F9FAFB"/>
            <w:tcMar>
              <w:top w:w="100" w:type="dxa"/>
              <w:bottom w:w="100" w:type="dxa"/>
              <w:left w:w="140" w:type="dxa"/>
              <w:right w:w="140" w:type="dxa"/>
            </w:tcMar>
          </w:tcPr>
          <w:p>
            <w:pPr>
              <w:spacing w:before="40" w:after="40" w:line="276" w:lineRule="auto"/>
              <w:jc w:val="left"/>
            </w:pPr>
            <w:r>
              <w:rPr>
                <w:rFonts w:ascii="微软雅黑" w:hAnsi="微软雅黑" w:eastAsia="微软雅黑"/>
                <w:b w:val="0"/>
                <w:i w:val="0"/>
                <w:color w:val="1F2937"/>
                <w:sz w:val="18"/>
              </w:rPr>
              <w:t>支持在多个代码仓库间远程秒级切换；支持新建并自动在系统中登记新工程。</w:t>
            </w:r>
          </w:p>
        </w:tc>
      </w:tr>
      <w:tr>
        <w:tc>
          <w:tcPr>
            <w:tcW w:type="dxa" w:w="2016"/>
            <w:shd w:fill="FFFFFF"/>
            <w:tcMar>
              <w:top w:w="100" w:type="dxa"/>
              <w:bottom w:w="100" w:type="dxa"/>
              <w:left w:w="140" w:type="dxa"/>
              <w:right w:w="140" w:type="dxa"/>
            </w:tcMar>
          </w:tcPr>
          <w:p>
            <w:pPr>
              <w:spacing w:before="40" w:after="40" w:line="276" w:lineRule="auto"/>
              <w:jc w:val="center"/>
            </w:pPr>
            <w:r>
              <w:rPr>
                <w:rFonts w:ascii="微软雅黑" w:hAnsi="微软雅黑" w:eastAsia="微软雅黑"/>
                <w:b w:val="0"/>
                <w:i w:val="0"/>
                <w:color w:val="1F2937"/>
                <w:sz w:val="18"/>
              </w:rPr>
              <w:t>独立通用会话</w:t>
            </w:r>
          </w:p>
        </w:tc>
        <w:tc>
          <w:tcPr>
            <w:tcW w:type="dxa" w:w="3168"/>
            <w:shd w:fill="FFFFFF"/>
            <w:tcMar>
              <w:top w:w="100" w:type="dxa"/>
              <w:bottom w:w="100" w:type="dxa"/>
              <w:left w:w="140" w:type="dxa"/>
              <w:right w:w="140" w:type="dxa"/>
            </w:tcMar>
          </w:tcPr>
          <w:p>
            <w:pPr>
              <w:spacing w:before="40" w:after="40" w:line="276" w:lineRule="auto"/>
              <w:jc w:val="left"/>
            </w:pPr>
            <w:r>
              <w:rPr>
                <w:rFonts w:ascii="微软雅黑" w:hAnsi="微软雅黑" w:eastAsia="微软雅黑"/>
                <w:b w:val="0"/>
                <w:i w:val="0"/>
                <w:color w:val="1F2937"/>
                <w:sz w:val="18"/>
              </w:rPr>
              <w:t>/new -g &lt;需求说明&gt;</w:t>
              <w:br/>
              <w:t>【新建通用会话】</w:t>
            </w:r>
          </w:p>
        </w:tc>
        <w:tc>
          <w:tcPr>
            <w:tcW w:type="dxa" w:w="4176"/>
            <w:shd w:fill="FFFFFF"/>
            <w:tcMar>
              <w:top w:w="100" w:type="dxa"/>
              <w:bottom w:w="100" w:type="dxa"/>
              <w:left w:w="140" w:type="dxa"/>
              <w:right w:w="140" w:type="dxa"/>
            </w:tcMar>
          </w:tcPr>
          <w:p>
            <w:pPr>
              <w:spacing w:before="40" w:after="40" w:line="276" w:lineRule="auto"/>
              <w:jc w:val="left"/>
            </w:pPr>
            <w:r>
              <w:rPr>
                <w:rFonts w:ascii="微软雅黑" w:hAnsi="微软雅黑" w:eastAsia="微软雅黑"/>
                <w:b w:val="0"/>
                <w:i w:val="0"/>
                <w:color w:val="1F2937"/>
                <w:sz w:val="18"/>
              </w:rPr>
              <w:t>启动不归属任何特定工程的全局会话，适用于跨项目战略研讨与宏观架构探索。</w:t>
            </w:r>
          </w:p>
        </w:tc>
      </w:tr>
      <w:tr>
        <w:tc>
          <w:tcPr>
            <w:tcW w:type="dxa" w:w="2016"/>
            <w:shd w:fill="F9FAFB"/>
            <w:tcMar>
              <w:top w:w="100" w:type="dxa"/>
              <w:bottom w:w="100" w:type="dxa"/>
              <w:left w:w="140" w:type="dxa"/>
              <w:right w:w="140" w:type="dxa"/>
            </w:tcMar>
          </w:tcPr>
          <w:p>
            <w:pPr>
              <w:spacing w:before="40" w:after="40" w:line="276" w:lineRule="auto"/>
              <w:jc w:val="center"/>
            </w:pPr>
            <w:r>
              <w:rPr>
                <w:rFonts w:ascii="微软雅黑" w:hAnsi="微软雅黑" w:eastAsia="微软雅黑"/>
                <w:b w:val="0"/>
                <w:i w:val="0"/>
                <w:color w:val="1F2937"/>
                <w:sz w:val="18"/>
              </w:rPr>
              <w:t>代码审查与Diff</w:t>
            </w:r>
          </w:p>
        </w:tc>
        <w:tc>
          <w:tcPr>
            <w:tcW w:type="dxa" w:w="3168"/>
            <w:shd w:fill="F9FAFB"/>
            <w:tcMar>
              <w:top w:w="100" w:type="dxa"/>
              <w:bottom w:w="100" w:type="dxa"/>
              <w:left w:w="140" w:type="dxa"/>
              <w:right w:w="140" w:type="dxa"/>
            </w:tcMar>
          </w:tcPr>
          <w:p>
            <w:pPr>
              <w:spacing w:before="40" w:after="40" w:line="276" w:lineRule="auto"/>
              <w:jc w:val="left"/>
            </w:pPr>
            <w:r>
              <w:rPr>
                <w:rFonts w:ascii="微软雅黑" w:hAnsi="微软雅黑" w:eastAsia="微软雅黑"/>
                <w:b w:val="0"/>
                <w:i w:val="0"/>
                <w:color w:val="1F2937"/>
                <w:sz w:val="18"/>
              </w:rPr>
              <w:t>/diff 或【代码审查】</w:t>
              <w:br/>
              <w:t>【查看改动】/【代码差异】</w:t>
            </w:r>
          </w:p>
        </w:tc>
        <w:tc>
          <w:tcPr>
            <w:tcW w:type="dxa" w:w="4176"/>
            <w:shd w:fill="F9FAFB"/>
            <w:tcMar>
              <w:top w:w="100" w:type="dxa"/>
              <w:bottom w:w="100" w:type="dxa"/>
              <w:left w:w="140" w:type="dxa"/>
              <w:right w:w="140" w:type="dxa"/>
            </w:tcMar>
          </w:tcPr>
          <w:p>
            <w:pPr>
              <w:spacing w:before="40" w:after="40" w:line="276" w:lineRule="auto"/>
              <w:jc w:val="left"/>
            </w:pPr>
            <w:r>
              <w:rPr>
                <w:rFonts w:ascii="微软雅黑" w:hAnsi="微软雅黑" w:eastAsia="微软雅黑"/>
                <w:b w:val="0"/>
                <w:i w:val="0"/>
                <w:color w:val="1F2937"/>
                <w:sz w:val="18"/>
              </w:rPr>
              <w:t>自动提取本地工作区未提交 Git Diff，小改动直接发送摘要，大改动自动生成审查报告。</w:t>
            </w:r>
          </w:p>
        </w:tc>
      </w:tr>
      <w:tr>
        <w:tc>
          <w:tcPr>
            <w:tcW w:type="dxa" w:w="2016"/>
            <w:shd w:fill="FFFFFF"/>
            <w:tcMar>
              <w:top w:w="100" w:type="dxa"/>
              <w:bottom w:w="100" w:type="dxa"/>
              <w:left w:w="140" w:type="dxa"/>
              <w:right w:w="140" w:type="dxa"/>
            </w:tcMar>
          </w:tcPr>
          <w:p>
            <w:pPr>
              <w:spacing w:before="40" w:after="40" w:line="276" w:lineRule="auto"/>
              <w:jc w:val="center"/>
            </w:pPr>
            <w:r>
              <w:rPr>
                <w:rFonts w:ascii="微软雅黑" w:hAnsi="微软雅黑" w:eastAsia="微软雅黑"/>
                <w:b w:val="0"/>
                <w:i w:val="0"/>
                <w:color w:val="1F2937"/>
                <w:sz w:val="18"/>
              </w:rPr>
              <w:t>自动打包直推</w:t>
            </w:r>
          </w:p>
        </w:tc>
        <w:tc>
          <w:tcPr>
            <w:tcW w:type="dxa" w:w="3168"/>
            <w:shd w:fill="FFFFFF"/>
            <w:tcMar>
              <w:top w:w="100" w:type="dxa"/>
              <w:bottom w:w="100" w:type="dxa"/>
              <w:left w:w="140" w:type="dxa"/>
              <w:right w:w="140" w:type="dxa"/>
            </w:tcMar>
          </w:tcPr>
          <w:p>
            <w:pPr>
              <w:spacing w:before="40" w:after="40" w:line="276" w:lineRule="auto"/>
              <w:jc w:val="left"/>
            </w:pPr>
            <w:r>
              <w:rPr>
                <w:rFonts w:ascii="微软雅黑" w:hAnsi="微软雅黑" w:eastAsia="微软雅黑"/>
                <w:b w:val="0"/>
                <w:i w:val="0"/>
                <w:color w:val="1F2937"/>
                <w:sz w:val="18"/>
              </w:rPr>
              <w:t>/build 或【打包发我】</w:t>
              <w:br/>
              <w:t>【打安装包】/【打zip包】</w:t>
            </w:r>
          </w:p>
        </w:tc>
        <w:tc>
          <w:tcPr>
            <w:tcW w:type="dxa" w:w="4176"/>
            <w:shd w:fill="FFFFFF"/>
            <w:tcMar>
              <w:top w:w="100" w:type="dxa"/>
              <w:bottom w:w="100" w:type="dxa"/>
              <w:left w:w="140" w:type="dxa"/>
              <w:right w:w="140" w:type="dxa"/>
            </w:tcMar>
          </w:tcPr>
          <w:p>
            <w:pPr>
              <w:spacing w:before="40" w:after="40" w:line="276" w:lineRule="auto"/>
              <w:jc w:val="left"/>
            </w:pPr>
            <w:r>
              <w:rPr>
                <w:rFonts w:ascii="微软雅黑" w:hAnsi="微软雅黑" w:eastAsia="微软雅黑"/>
                <w:b w:val="0"/>
                <w:i w:val="0"/>
                <w:color w:val="1F2937"/>
                <w:sz w:val="18"/>
              </w:rPr>
              <w:t>自动过滤 node_modules 与版本库缓存，将当前工程打包为 .zip 并回传微信。</w:t>
            </w:r>
          </w:p>
        </w:tc>
      </w:tr>
      <w:tr>
        <w:tc>
          <w:tcPr>
            <w:tcW w:type="dxa" w:w="2016"/>
            <w:shd w:fill="F9FAFB"/>
            <w:tcMar>
              <w:top w:w="100" w:type="dxa"/>
              <w:bottom w:w="100" w:type="dxa"/>
              <w:left w:w="140" w:type="dxa"/>
              <w:right w:w="140" w:type="dxa"/>
            </w:tcMar>
          </w:tcPr>
          <w:p>
            <w:pPr>
              <w:spacing w:before="40" w:after="40" w:line="276" w:lineRule="auto"/>
              <w:jc w:val="center"/>
            </w:pPr>
            <w:r>
              <w:rPr>
                <w:rFonts w:ascii="微软雅黑" w:hAnsi="微软雅黑" w:eastAsia="微软雅黑"/>
                <w:b w:val="0"/>
                <w:i w:val="0"/>
                <w:color w:val="1F2937"/>
                <w:sz w:val="18"/>
              </w:rPr>
              <w:t>安全守卫拦截</w:t>
            </w:r>
          </w:p>
        </w:tc>
        <w:tc>
          <w:tcPr>
            <w:tcW w:type="dxa" w:w="3168"/>
            <w:shd w:fill="F9FAFB"/>
            <w:tcMar>
              <w:top w:w="100" w:type="dxa"/>
              <w:bottom w:w="100" w:type="dxa"/>
              <w:left w:w="140" w:type="dxa"/>
              <w:right w:w="140" w:type="dxa"/>
            </w:tcMar>
          </w:tcPr>
          <w:p>
            <w:pPr>
              <w:spacing w:before="40" w:after="40" w:line="276" w:lineRule="auto"/>
              <w:jc w:val="left"/>
            </w:pPr>
            <w:r>
              <w:rPr>
                <w:rFonts w:ascii="微软雅黑" w:hAnsi="微软雅黑" w:eastAsia="微软雅黑"/>
                <w:b w:val="0"/>
                <w:i w:val="0"/>
                <w:color w:val="1F2937"/>
                <w:sz w:val="18"/>
              </w:rPr>
              <w:t>遇到高危指令 (如 rm / 删库)</w:t>
              <w:br/>
              <w:t>60 秒内回复动态验证码放行</w:t>
            </w:r>
          </w:p>
        </w:tc>
        <w:tc>
          <w:tcPr>
            <w:tcW w:type="dxa" w:w="4176"/>
            <w:shd w:fill="F9FAFB"/>
            <w:tcMar>
              <w:top w:w="100" w:type="dxa"/>
              <w:bottom w:w="100" w:type="dxa"/>
              <w:left w:w="140" w:type="dxa"/>
              <w:right w:w="140" w:type="dxa"/>
            </w:tcMar>
          </w:tcPr>
          <w:p>
            <w:pPr>
              <w:spacing w:before="40" w:after="40" w:line="276" w:lineRule="auto"/>
              <w:jc w:val="left"/>
            </w:pPr>
            <w:r>
              <w:rPr>
                <w:rFonts w:ascii="微软雅黑" w:hAnsi="微软雅黑" w:eastAsia="微软雅黑"/>
                <w:b w:val="0"/>
                <w:i w:val="0"/>
                <w:color w:val="1F2937"/>
                <w:sz w:val="18"/>
              </w:rPr>
              <w:t>内置 RBAC 白名单与高危动作拦截器，发放 4 位动态验证码二次确认放行。</w:t>
            </w:r>
          </w:p>
        </w:tc>
      </w:tr>
    </w:tbl>
    <w:p>
      <w:pPr>
        <w:spacing w:before="0" w:after="80"/>
      </w:pPr>
    </w:p>
    <w:p>
      <w:pPr>
        <w:keepNext/>
        <w:spacing w:before="320" w:after="120"/>
      </w:pPr>
      <w:r>
        <w:rPr>
          <w:rFonts w:ascii="微软雅黑" w:hAnsi="微软雅黑" w:eastAsia="微软雅黑"/>
          <w:b/>
          <w:i w:val="0"/>
          <w:color w:val="1E3A8A"/>
          <w:sz w:val="30"/>
        </w:rPr>
        <w:t>四、 系统架构、端口与部署规范</w:t>
      </w:r>
    </w:p>
    <w:p>
      <w:pPr>
        <w:spacing w:before="0" w:after="80" w:line="300" w:lineRule="auto"/>
        <w:jc w:val="left"/>
      </w:pPr>
      <w:r>
        <w:rPr>
          <w:rFonts w:ascii="微软雅黑" w:hAnsi="微软雅黑" w:eastAsia="微软雅黑"/>
          <w:b w:val="0"/>
          <w:i w:val="0"/>
          <w:color w:val="1F2937"/>
          <w:sz w:val="21"/>
        </w:rPr>
        <w:t>系统基于 Antigravity Sidecar 原生运行时打造，具备零外部依赖、自愈容灾与长效运行特性：</w:t>
      </w:r>
    </w:p>
    <w:tbl>
      <w:tblPr>
        <w:tblW w:type="auto" w:w="0"/>
        <w:jc w:val="center"/>
        <w:tblLayout w:type="fixed"/>
        <w:tblLook w:firstColumn="1" w:firstRow="1" w:lastColumn="0" w:lastRow="0" w:noHBand="0" w:noVBand="1" w:val="04A0"/>
        <w:tblBorders>
          <w:top w:val="single" w:sz="4" w:space="0" w:color="D1D5DB"/>
          <w:left w:val="none"/>
          <w:bottom w:val="single" w:sz="8" w:space="0" w:color="9CA3AF"/>
          <w:right w:val="none"/>
          <w:insideH w:val="single" w:sz="4" w:space="0" w:color="E5E7EB"/>
          <w:insideV w:val="none"/>
        </w:tblBorders>
      </w:tblPr>
      <w:tblGrid>
        <w:gridCol w:w="3120"/>
        <w:gridCol w:w="3120"/>
        <w:gridCol w:w="3120"/>
      </w:tblGrid>
      <w:tr>
        <w:tc>
          <w:tcPr>
            <w:tcW w:type="dxa" w:w="2160"/>
            <w:shd w:fill="1E3A8A"/>
            <w:tcMar>
              <w:top w:w="120" w:type="dxa"/>
              <w:bottom w:w="120" w:type="dxa"/>
              <w:left w:w="140" w:type="dxa"/>
              <w:right w:w="140" w:type="dxa"/>
            </w:tcMar>
          </w:tcPr>
          <w:p>
            <w:pPr>
              <w:spacing w:before="40" w:after="40"/>
              <w:jc w:val="center"/>
            </w:pPr>
            <w:r>
              <w:rPr>
                <w:rFonts w:ascii="微软雅黑" w:hAnsi="微软雅黑" w:eastAsia="微软雅黑"/>
                <w:b/>
                <w:i w:val="0"/>
                <w:color w:val="FFFFFF"/>
                <w:sz w:val="19"/>
              </w:rPr>
              <w:t>组件 / 资源</w:t>
            </w:r>
          </w:p>
        </w:tc>
        <w:tc>
          <w:tcPr>
            <w:tcW w:type="dxa" w:w="3312"/>
            <w:shd w:fill="1E3A8A"/>
            <w:tcMar>
              <w:top w:w="120" w:type="dxa"/>
              <w:bottom w:w="120" w:type="dxa"/>
              <w:left w:w="140" w:type="dxa"/>
              <w:right w:w="140" w:type="dxa"/>
            </w:tcMar>
          </w:tcPr>
          <w:p>
            <w:pPr>
              <w:spacing w:before="40" w:after="40"/>
              <w:jc w:val="center"/>
            </w:pPr>
            <w:r>
              <w:rPr>
                <w:rFonts w:ascii="微软雅黑" w:hAnsi="微软雅黑" w:eastAsia="微软雅黑"/>
                <w:b/>
                <w:i w:val="0"/>
                <w:color w:val="FFFFFF"/>
                <w:sz w:val="19"/>
              </w:rPr>
              <w:t>端口 / 路径</w:t>
            </w:r>
          </w:p>
        </w:tc>
        <w:tc>
          <w:tcPr>
            <w:tcW w:type="dxa" w:w="3888"/>
            <w:shd w:fill="1E3A8A"/>
            <w:tcMar>
              <w:top w:w="120" w:type="dxa"/>
              <w:bottom w:w="120" w:type="dxa"/>
              <w:left w:w="140" w:type="dxa"/>
              <w:right w:w="140" w:type="dxa"/>
            </w:tcMar>
          </w:tcPr>
          <w:p>
            <w:pPr>
              <w:spacing w:before="40" w:after="40"/>
              <w:jc w:val="center"/>
            </w:pPr>
            <w:r>
              <w:rPr>
                <w:rFonts w:ascii="微软雅黑" w:hAnsi="微软雅黑" w:eastAsia="微软雅黑"/>
                <w:b/>
                <w:i w:val="0"/>
                <w:color w:val="FFFFFF"/>
                <w:sz w:val="19"/>
              </w:rPr>
              <w:t>规范与运维说明</w:t>
            </w:r>
          </w:p>
        </w:tc>
      </w:tr>
      <w:tr>
        <w:tc>
          <w:tcPr>
            <w:tcW w:type="dxa" w:w="2160"/>
            <w:shd w:fill="FFFFFF"/>
            <w:tcMar>
              <w:top w:w="100" w:type="dxa"/>
              <w:bottom w:w="100" w:type="dxa"/>
              <w:left w:w="140" w:type="dxa"/>
              <w:right w:w="140" w:type="dxa"/>
            </w:tcMar>
          </w:tcPr>
          <w:p>
            <w:pPr>
              <w:spacing w:before="40" w:after="40" w:line="276" w:lineRule="auto"/>
              <w:jc w:val="center"/>
            </w:pPr>
            <w:r>
              <w:rPr>
                <w:rFonts w:ascii="微软雅黑" w:hAnsi="微软雅黑" w:eastAsia="微软雅黑"/>
                <w:b w:val="0"/>
                <w:i w:val="0"/>
                <w:color w:val="1F2937"/>
                <w:sz w:val="18"/>
              </w:rPr>
              <w:t>主控制台 &amp; 网关</w:t>
            </w:r>
          </w:p>
        </w:tc>
        <w:tc>
          <w:tcPr>
            <w:tcW w:type="dxa" w:w="3312"/>
            <w:shd w:fill="FFFFFF"/>
            <w:tcMar>
              <w:top w:w="100" w:type="dxa"/>
              <w:bottom w:w="100" w:type="dxa"/>
              <w:left w:w="140" w:type="dxa"/>
              <w:right w:w="140" w:type="dxa"/>
            </w:tcMar>
          </w:tcPr>
          <w:p>
            <w:pPr>
              <w:spacing w:before="40" w:after="40" w:line="276" w:lineRule="auto"/>
              <w:jc w:val="left"/>
            </w:pPr>
            <w:r>
              <w:rPr>
                <w:rFonts w:ascii="微软雅黑" w:hAnsi="微软雅黑" w:eastAsia="微软雅黑"/>
                <w:b w:val="0"/>
                <w:i w:val="0"/>
                <w:color w:val="1F2937"/>
                <w:sz w:val="18"/>
              </w:rPr>
              <w:t>http://127.0.0.1:18765</w:t>
            </w:r>
          </w:p>
        </w:tc>
        <w:tc>
          <w:tcPr>
            <w:tcW w:type="dxa" w:w="3888"/>
            <w:shd w:fill="FFFFFF"/>
            <w:tcMar>
              <w:top w:w="100" w:type="dxa"/>
              <w:bottom w:w="100" w:type="dxa"/>
              <w:left w:w="140" w:type="dxa"/>
              <w:right w:w="140" w:type="dxa"/>
            </w:tcMar>
          </w:tcPr>
          <w:p>
            <w:pPr>
              <w:spacing w:before="40" w:after="40" w:line="276" w:lineRule="auto"/>
              <w:jc w:val="left"/>
            </w:pPr>
            <w:r>
              <w:rPr>
                <w:rFonts w:ascii="微软雅黑" w:hAnsi="微软雅黑" w:eastAsia="微软雅黑"/>
                <w:b w:val="0"/>
                <w:i w:val="0"/>
                <w:color w:val="1F2937"/>
                <w:sz w:val="18"/>
              </w:rPr>
              <w:t>承载 HTTP REST API、Web 控制台静态资源、OpenAI 兼容接口与微信/飞书接入点。</w:t>
            </w:r>
          </w:p>
        </w:tc>
      </w:tr>
      <w:tr>
        <w:tc>
          <w:tcPr>
            <w:tcW w:type="dxa" w:w="2160"/>
            <w:shd w:fill="F9FAFB"/>
            <w:tcMar>
              <w:top w:w="100" w:type="dxa"/>
              <w:bottom w:w="100" w:type="dxa"/>
              <w:left w:w="140" w:type="dxa"/>
              <w:right w:w="140" w:type="dxa"/>
            </w:tcMar>
          </w:tcPr>
          <w:p>
            <w:pPr>
              <w:spacing w:before="40" w:after="40" w:line="276" w:lineRule="auto"/>
              <w:jc w:val="center"/>
            </w:pPr>
            <w:r>
              <w:rPr>
                <w:rFonts w:ascii="微软雅黑" w:hAnsi="微软雅黑" w:eastAsia="微软雅黑"/>
                <w:b w:val="0"/>
                <w:i w:val="0"/>
                <w:color w:val="1F2937"/>
                <w:sz w:val="18"/>
              </w:rPr>
              <w:t>微信通信信令</w:t>
            </w:r>
          </w:p>
        </w:tc>
        <w:tc>
          <w:tcPr>
            <w:tcW w:type="dxa" w:w="3312"/>
            <w:shd w:fill="F9FAFB"/>
            <w:tcMar>
              <w:top w:w="100" w:type="dxa"/>
              <w:bottom w:w="100" w:type="dxa"/>
              <w:left w:w="140" w:type="dxa"/>
              <w:right w:w="140" w:type="dxa"/>
            </w:tcMar>
          </w:tcPr>
          <w:p>
            <w:pPr>
              <w:spacing w:before="40" w:after="40" w:line="276" w:lineRule="auto"/>
              <w:jc w:val="left"/>
            </w:pPr>
            <w:r>
              <w:rPr>
                <w:rFonts w:ascii="微软雅黑" w:hAnsi="微软雅黑" w:eastAsia="微软雅黑"/>
                <w:b w:val="0"/>
                <w:i w:val="0"/>
                <w:color w:val="1F2937"/>
                <w:sz w:val="18"/>
              </w:rPr>
              <w:t>Tencent iLink Bot Protocol</w:t>
            </w:r>
          </w:p>
        </w:tc>
        <w:tc>
          <w:tcPr>
            <w:tcW w:type="dxa" w:w="3888"/>
            <w:shd w:fill="F9FAFB"/>
            <w:tcMar>
              <w:top w:w="100" w:type="dxa"/>
              <w:bottom w:w="100" w:type="dxa"/>
              <w:left w:w="140" w:type="dxa"/>
              <w:right w:w="140" w:type="dxa"/>
            </w:tcMar>
          </w:tcPr>
          <w:p>
            <w:pPr>
              <w:spacing w:before="40" w:after="40" w:line="276" w:lineRule="auto"/>
              <w:jc w:val="left"/>
            </w:pPr>
            <w:r>
              <w:rPr>
                <w:rFonts w:ascii="微软雅黑" w:hAnsi="微软雅黑" w:eastAsia="微软雅黑"/>
                <w:b w:val="0"/>
                <w:i w:val="0"/>
                <w:color w:val="1F2937"/>
                <w:sz w:val="18"/>
              </w:rPr>
              <w:t>免公网穿透长轮询协议，凭证安全持久化于 ~/.weixin_cow_credentials.json。</w:t>
            </w:r>
          </w:p>
        </w:tc>
      </w:tr>
      <w:tr>
        <w:tc>
          <w:tcPr>
            <w:tcW w:type="dxa" w:w="2160"/>
            <w:shd w:fill="FFFFFF"/>
            <w:tcMar>
              <w:top w:w="100" w:type="dxa"/>
              <w:bottom w:w="100" w:type="dxa"/>
              <w:left w:w="140" w:type="dxa"/>
              <w:right w:w="140" w:type="dxa"/>
            </w:tcMar>
          </w:tcPr>
          <w:p>
            <w:pPr>
              <w:spacing w:before="40" w:after="40" w:line="276" w:lineRule="auto"/>
              <w:jc w:val="center"/>
            </w:pPr>
            <w:r>
              <w:rPr>
                <w:rFonts w:ascii="微软雅黑" w:hAnsi="微软雅黑" w:eastAsia="微软雅黑"/>
                <w:b w:val="0"/>
                <w:i w:val="0"/>
                <w:color w:val="1F2937"/>
                <w:sz w:val="18"/>
              </w:rPr>
              <w:t>流量日志数据库</w:t>
            </w:r>
          </w:p>
        </w:tc>
        <w:tc>
          <w:tcPr>
            <w:tcW w:type="dxa" w:w="3312"/>
            <w:shd w:fill="FFFFFF"/>
            <w:tcMar>
              <w:top w:w="100" w:type="dxa"/>
              <w:bottom w:w="100" w:type="dxa"/>
              <w:left w:w="140" w:type="dxa"/>
              <w:right w:w="140" w:type="dxa"/>
            </w:tcMar>
          </w:tcPr>
          <w:p>
            <w:pPr>
              <w:spacing w:before="40" w:after="40" w:line="276" w:lineRule="auto"/>
              <w:jc w:val="left"/>
            </w:pPr>
            <w:r>
              <w:rPr>
                <w:rFonts w:ascii="微软雅黑" w:hAnsi="微软雅黑" w:eastAsia="微软雅黑"/>
                <w:b w:val="0"/>
                <w:i w:val="0"/>
                <w:color w:val="1F2937"/>
                <w:sz w:val="18"/>
              </w:rPr>
              <w:t>sidecars/panel/data/traffic_logs.json</w:t>
            </w:r>
          </w:p>
        </w:tc>
        <w:tc>
          <w:tcPr>
            <w:tcW w:type="dxa" w:w="3888"/>
            <w:shd w:fill="FFFFFF"/>
            <w:tcMar>
              <w:top w:w="100" w:type="dxa"/>
              <w:bottom w:w="100" w:type="dxa"/>
              <w:left w:w="140" w:type="dxa"/>
              <w:right w:w="140" w:type="dxa"/>
            </w:tcMar>
          </w:tcPr>
          <w:p>
            <w:pPr>
              <w:spacing w:before="40" w:after="40" w:line="276" w:lineRule="auto"/>
              <w:jc w:val="left"/>
            </w:pPr>
            <w:r>
              <w:rPr>
                <w:rFonts w:ascii="微软雅黑" w:hAnsi="微软雅黑" w:eastAsia="微软雅黑"/>
                <w:b w:val="0"/>
                <w:i w:val="0"/>
                <w:color w:val="1F2937"/>
                <w:sz w:val="18"/>
              </w:rPr>
              <w:t>环形队列持久化存储最近 500+ 条真实调用日志，支持随时导出与一键清空。</w:t>
            </w:r>
          </w:p>
        </w:tc>
      </w:tr>
      <w:tr>
        <w:tc>
          <w:tcPr>
            <w:tcW w:type="dxa" w:w="2160"/>
            <w:shd w:fill="F9FAFB"/>
            <w:tcMar>
              <w:top w:w="100" w:type="dxa"/>
              <w:bottom w:w="100" w:type="dxa"/>
              <w:left w:w="140" w:type="dxa"/>
              <w:right w:w="140" w:type="dxa"/>
            </w:tcMar>
          </w:tcPr>
          <w:p>
            <w:pPr>
              <w:spacing w:before="40" w:after="40" w:line="276" w:lineRule="auto"/>
              <w:jc w:val="center"/>
            </w:pPr>
            <w:r>
              <w:rPr>
                <w:rFonts w:ascii="微软雅黑" w:hAnsi="微软雅黑" w:eastAsia="微软雅黑"/>
                <w:b w:val="0"/>
                <w:i w:val="0"/>
                <w:color w:val="1F2937"/>
                <w:sz w:val="18"/>
              </w:rPr>
              <w:t>任务看板数据</w:t>
            </w:r>
          </w:p>
        </w:tc>
        <w:tc>
          <w:tcPr>
            <w:tcW w:type="dxa" w:w="3312"/>
            <w:shd w:fill="F9FAFB"/>
            <w:tcMar>
              <w:top w:w="100" w:type="dxa"/>
              <w:bottom w:w="100" w:type="dxa"/>
              <w:left w:w="140" w:type="dxa"/>
              <w:right w:w="140" w:type="dxa"/>
            </w:tcMar>
          </w:tcPr>
          <w:p>
            <w:pPr>
              <w:spacing w:before="40" w:after="40" w:line="276" w:lineRule="auto"/>
              <w:jc w:val="left"/>
            </w:pPr>
            <w:r>
              <w:rPr>
                <w:rFonts w:ascii="微软雅黑" w:hAnsi="微软雅黑" w:eastAsia="微软雅黑"/>
                <w:b w:val="0"/>
                <w:i w:val="0"/>
                <w:color w:val="1F2937"/>
                <w:sz w:val="18"/>
              </w:rPr>
              <w:t>sidecars/panel/data/tasks_*.json</w:t>
            </w:r>
          </w:p>
        </w:tc>
        <w:tc>
          <w:tcPr>
            <w:tcW w:type="dxa" w:w="3888"/>
            <w:shd w:fill="F9FAFB"/>
            <w:tcMar>
              <w:top w:w="100" w:type="dxa"/>
              <w:bottom w:w="100" w:type="dxa"/>
              <w:left w:w="140" w:type="dxa"/>
              <w:right w:w="140" w:type="dxa"/>
            </w:tcMar>
          </w:tcPr>
          <w:p>
            <w:pPr>
              <w:spacing w:before="40" w:after="40" w:line="276" w:lineRule="auto"/>
              <w:jc w:val="left"/>
            </w:pPr>
            <w:r>
              <w:rPr>
                <w:rFonts w:ascii="微软雅黑" w:hAnsi="微软雅黑" w:eastAsia="微软雅黑"/>
                <w:b w:val="0"/>
                <w:i w:val="0"/>
                <w:color w:val="1F2937"/>
                <w:sz w:val="18"/>
              </w:rPr>
              <w:t>按会话 ID 隔离持久化存储各工程任务里程碑、三列泳道与执行进度。</w:t>
            </w:r>
          </w:p>
        </w:tc>
      </w:tr>
      <w:tr>
        <w:tc>
          <w:tcPr>
            <w:tcW w:type="dxa" w:w="2160"/>
            <w:shd w:fill="FFFFFF"/>
            <w:tcMar>
              <w:top w:w="100" w:type="dxa"/>
              <w:bottom w:w="100" w:type="dxa"/>
              <w:left w:w="140" w:type="dxa"/>
              <w:right w:w="140" w:type="dxa"/>
            </w:tcMar>
          </w:tcPr>
          <w:p>
            <w:pPr>
              <w:spacing w:before="40" w:after="40" w:line="276" w:lineRule="auto"/>
              <w:jc w:val="center"/>
            </w:pPr>
            <w:r>
              <w:rPr>
                <w:rFonts w:ascii="微软雅黑" w:hAnsi="微软雅黑" w:eastAsia="微软雅黑"/>
                <w:b w:val="0"/>
                <w:i w:val="0"/>
                <w:color w:val="1F2937"/>
                <w:sz w:val="18"/>
              </w:rPr>
              <w:t>进程自愈守护</w:t>
            </w:r>
          </w:p>
        </w:tc>
        <w:tc>
          <w:tcPr>
            <w:tcW w:type="dxa" w:w="3312"/>
            <w:shd w:fill="FFFFFF"/>
            <w:tcMar>
              <w:top w:w="100" w:type="dxa"/>
              <w:bottom w:w="100" w:type="dxa"/>
              <w:left w:w="140" w:type="dxa"/>
              <w:right w:w="140" w:type="dxa"/>
            </w:tcMar>
          </w:tcPr>
          <w:p>
            <w:pPr>
              <w:spacing w:before="40" w:after="40" w:line="276" w:lineRule="auto"/>
              <w:jc w:val="left"/>
            </w:pPr>
            <w:r>
              <w:rPr>
                <w:rFonts w:ascii="微软雅黑" w:hAnsi="微软雅黑" w:eastAsia="微软雅黑"/>
                <w:b w:val="0"/>
                <w:i w:val="0"/>
                <w:color w:val="1F2937"/>
                <w:sz w:val="18"/>
              </w:rPr>
              <w:t>Watchdog (10s 周期轮询)</w:t>
            </w:r>
          </w:p>
        </w:tc>
        <w:tc>
          <w:tcPr>
            <w:tcW w:type="dxa" w:w="3888"/>
            <w:shd w:fill="FFFFFF"/>
            <w:tcMar>
              <w:top w:w="100" w:type="dxa"/>
              <w:bottom w:w="100" w:type="dxa"/>
              <w:left w:w="140" w:type="dxa"/>
              <w:right w:w="140" w:type="dxa"/>
            </w:tcMar>
          </w:tcPr>
          <w:p>
            <w:pPr>
              <w:spacing w:before="40" w:after="40" w:line="276" w:lineRule="auto"/>
              <w:jc w:val="left"/>
            </w:pPr>
            <w:r>
              <w:rPr>
                <w:rFonts w:ascii="微软雅黑" w:hAnsi="微软雅黑" w:eastAsia="微软雅黑"/>
                <w:b w:val="0"/>
                <w:i w:val="0"/>
                <w:color w:val="1F2937"/>
                <w:sz w:val="18"/>
              </w:rPr>
              <w:t>后台定时探测微信机器人存活状态，遇到网络抖动或崩溃自动重启并自愈复位。</w:t>
            </w:r>
          </w:p>
        </w:tc>
      </w:tr>
    </w:tbl>
    <w:p>
      <w:pPr>
        <w:spacing w:before="0" w:after="80"/>
      </w:pPr>
    </w:p>
    <w:p>
      <w:pPr>
        <w:keepNext/>
        <w:spacing w:before="320" w:after="120"/>
      </w:pPr>
      <w:r>
        <w:rPr>
          <w:rFonts w:ascii="微软雅黑" w:hAnsi="微软雅黑" w:eastAsia="微软雅黑"/>
          <w:b/>
          <w:i w:val="0"/>
          <w:color w:val="1E3A8A"/>
          <w:sz w:val="30"/>
        </w:rPr>
        <w:t>五、 总结与交付确认</w:t>
      </w:r>
    </w:p>
    <w:p>
      <w:pPr>
        <w:spacing w:before="0" w:after="80" w:line="300" w:lineRule="auto"/>
        <w:jc w:val="left"/>
      </w:pPr>
      <w:r>
        <w:rPr>
          <w:rFonts w:ascii="微软雅黑" w:hAnsi="微软雅黑" w:eastAsia="微软雅黑"/>
          <w:b w:val="0"/>
          <w:i w:val="0"/>
          <w:color w:val="1F2937"/>
          <w:sz w:val="21"/>
        </w:rPr>
        <w:t>作战概念研究工作台 &amp; AI研发助手 V2.5 版本的落地，标志着从‘单机代码助手’向‘全链路智能中枢’的跨越。通过 1:1 API Gateway 流量监控面板与微信端全双工协同体系，研发团队能够以最小的认知负荷，全面掌握 Agent 行为细节、量化算力成本并随时随地远程指挥调度。</w:t>
      </w:r>
    </w:p>
    <w:tbl>
      <w:tblPr>
        <w:tblW w:type="auto" w:w="0"/>
        <w:jc w:val="center"/>
        <w:tblLook w:firstColumn="1" w:firstRow="1" w:lastColumn="0" w:lastRow="0" w:noHBand="0" w:noVBand="1" w:val="04A0"/>
      </w:tblPr>
      <w:tblGrid>
        <w:gridCol w:w="9360"/>
      </w:tblGrid>
      <w:tr>
        <w:tc>
          <w:tcPr>
            <w:tcW w:type="dxa" w:w="9360"/>
            <w:shd w:fill="F0F4F8"/>
            <w:tcBorders>
              <w:top w:val="none"/>
              <w:left w:val="single" w:sz="24" w:space="0" w:color="2563EB"/>
              <w:bottom w:val="none"/>
              <w:right w:val="none"/>
            </w:tcBorders>
            <w:tcMar>
              <w:top w:w="120" w:type="dxa"/>
              <w:bottom w:w="120" w:type="dxa"/>
              <w:left w:w="180" w:type="dxa"/>
              <w:right w:w="180" w:type="dxa"/>
            </w:tcMar>
          </w:tcPr>
          <w:p>
            <w:pPr>
              <w:spacing w:before="40" w:after="40" w:line="300" w:lineRule="auto"/>
            </w:pPr>
            <w:r>
              <w:rPr>
                <w:rFonts w:ascii="微软雅黑" w:hAnsi="微软雅黑" w:eastAsia="微软雅黑"/>
                <w:b/>
                <w:i w:val="0"/>
                <w:color w:val="2563EB"/>
                <w:sz w:val="20"/>
              </w:rPr>
              <w:t>✅ 交付确认与归档：</w:t>
            </w:r>
            <w:r>
              <w:rPr>
                <w:rFonts w:ascii="微软雅黑" w:hAnsi="微软雅黑" w:eastAsia="微软雅黑"/>
                <w:b w:val="0"/>
                <w:i w:val="0"/>
                <w:color w:val="1F2937"/>
                <w:sz w:val="20"/>
              </w:rPr>
              <w:t>本文档由作战概念研究工作台自动排版生成，包含全链路功能规约与架构细节。文档已同步存盘至工程目录，并通过微信直推引擎直接回传至您的微信手机端，请注意查收查阅！</w:t>
            </w:r>
          </w:p>
        </w:tc>
      </w:tr>
    </w:tbl>
    <w:p>
      <w:pPr>
        <w:spacing w:before="0" w:after="80"/>
      </w:pP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微软雅黑" w:hAnsi="微软雅黑" w:eastAsia="微软雅黑"/>
        <w:color w:val="9CA3AF"/>
        <w:sz w:val="17"/>
      </w:rPr>
      <w:t>Antigravity 研发协同平台 · 内部核心架构与交互规范</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微软雅黑" w:hAnsi="微软雅黑" w:eastAsia="微软雅黑"/>
        <w:color w:val="9CA3AF"/>
        <w:sz w:val="17"/>
      </w:rPr>
      <w:t>作战概念研究工作台 &amp; AI研发助手 · 全链路功能说明书 (V2.5)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