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80" w:after="160"/>
        <w:jc w:val="center"/>
      </w:pPr>
      <w:r>
        <w:rPr>
          <w:rFonts w:ascii="Microsoft YaHei" w:hAnsi="Microsoft YaHei" w:eastAsia="Microsoft YaHei"/>
          <w:b/>
          <w:color w:val="1F4E79"/>
          <w:sz w:val="48"/>
        </w:rPr>
        <w:t>作战概念研究工作台</w:t>
        <w:br/>
        <w:t>系统功能说明书</w:t>
      </w:r>
    </w:p>
    <w:p>
      <w:pPr>
        <w:spacing w:after="400"/>
        <w:jc w:val="center"/>
      </w:pPr>
      <w:r>
        <w:rPr>
          <w:rFonts w:ascii="Microsoft YaHei" w:hAnsi="Microsoft YaHei" w:eastAsia="Microsoft YaHei"/>
          <w:color w:val="556677"/>
          <w:sz w:val="24"/>
        </w:rPr>
        <w:t>Combat Concept AI Workbench · 功能架构与业务规范手册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1D5DB"/>
          <w:bottom w:val="single" w:sz="4" w:space="0" w:color="D1D5DB"/>
          <w:insideH w:val="single" w:sz="4" w:space="0" w:color="D1D5DB"/>
          <w:insideV w:val="none"/>
          <w:left w:val="none"/>
          <w:right w:val="none"/>
        </w:tblBorders>
      </w:tblPr>
      <w:tblGrid>
        <w:gridCol w:w="4680"/>
        <w:gridCol w:w="4680"/>
      </w:tblGrid>
      <w:tr>
        <w:tc>
          <w:tcPr>
            <w:tcW w:type="dxa" w:w="2160"/>
            <w:shd w:fill="2B6CB0"/>
            <w:tcMar>
              <w:top w:w="140" w:type="dxa"/>
              <w:bottom w:w="140" w:type="dxa"/>
              <w:left w:w="140" w:type="dxa"/>
              <w:right w:w="14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属性</w:t>
            </w:r>
          </w:p>
        </w:tc>
        <w:tc>
          <w:tcPr>
            <w:tcW w:type="dxa" w:w="7200"/>
            <w:shd w:fill="2B6CB0"/>
            <w:tcMar>
              <w:top w:w="140" w:type="dxa"/>
              <w:bottom w:w="140" w:type="dxa"/>
              <w:left w:w="140" w:type="dxa"/>
              <w:right w:w="14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说明</w:t>
            </w:r>
          </w:p>
        </w:tc>
      </w:tr>
      <w:tr>
        <w:tc>
          <w:tcPr>
            <w:tcW w:type="dxa" w:w="2160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40" w:after="40" w:line="276" w:lineRule="auto"/>
            </w:pPr>
            <w:r>
              <w:rPr>
                <w:rFonts w:ascii="Microsoft YaHei" w:hAnsi="Microsoft YaHei" w:eastAsia="Microsoft YaHei"/>
                <w:color w:val="1E293B"/>
                <w:sz w:val="18"/>
              </w:rPr>
              <w:t>系统定位</w:t>
            </w:r>
          </w:p>
        </w:tc>
        <w:tc>
          <w:tcPr>
            <w:tcW w:type="dxa" w:w="7200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40" w:after="40" w:line="276" w:lineRule="auto"/>
            </w:pPr>
            <w:r>
              <w:rPr>
                <w:rFonts w:ascii="Microsoft YaHei" w:hAnsi="Microsoft YaHei" w:eastAsia="Microsoft YaHei"/>
                <w:color w:val="1E293B"/>
                <w:sz w:val="18"/>
              </w:rPr>
              <w:t>内网作战概念研究、DoDAF 派生架构设计与推演想定孵化平台</w:t>
            </w:r>
          </w:p>
        </w:tc>
      </w:tr>
      <w:tr>
        <w:tc>
          <w:tcPr>
            <w:tcW w:type="dxa" w:w="2160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40" w:after="40" w:line="276" w:lineRule="auto"/>
            </w:pPr>
            <w:r>
              <w:rPr>
                <w:rFonts w:ascii="Microsoft YaHei" w:hAnsi="Microsoft YaHei" w:eastAsia="Microsoft YaHei"/>
                <w:color w:val="1E293B"/>
                <w:sz w:val="18"/>
              </w:rPr>
              <w:t>当前基线</w:t>
            </w:r>
          </w:p>
        </w:tc>
        <w:tc>
          <w:tcPr>
            <w:tcW w:type="dxa" w:w="7200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40" w:after="40" w:line="276" w:lineRule="auto"/>
            </w:pPr>
            <w:r>
              <w:rPr>
                <w:rFonts w:ascii="Microsoft YaHei" w:hAnsi="Microsoft YaHei" w:eastAsia="Microsoft YaHei"/>
                <w:color w:val="1E293B"/>
                <w:sz w:val="18"/>
              </w:rPr>
              <w:t>v0.67 原型稳定基线（七步主线架构 + 关联模型拓扑）</w:t>
            </w:r>
          </w:p>
        </w:tc>
      </w:tr>
      <w:tr>
        <w:tc>
          <w:tcPr>
            <w:tcW w:type="dxa" w:w="2160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40" w:after="40" w:line="276" w:lineRule="auto"/>
            </w:pPr>
            <w:r>
              <w:rPr>
                <w:rFonts w:ascii="Microsoft YaHei" w:hAnsi="Microsoft YaHei" w:eastAsia="Microsoft YaHei"/>
                <w:color w:val="1E293B"/>
                <w:sz w:val="18"/>
              </w:rPr>
              <w:t>服务地址</w:t>
            </w:r>
          </w:p>
        </w:tc>
        <w:tc>
          <w:tcPr>
            <w:tcW w:type="dxa" w:w="7200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40" w:after="40" w:line="276" w:lineRule="auto"/>
            </w:pPr>
            <w:r>
              <w:rPr>
                <w:rFonts w:ascii="Microsoft YaHei" w:hAnsi="Microsoft YaHei" w:eastAsia="Microsoft YaHei"/>
                <w:color w:val="1E293B"/>
                <w:sz w:val="18"/>
              </w:rPr>
              <w:t>工作台根入口：http://127.0.0.1:8792/ | 概念图标绘工具：http://127.0.0.1:8765/</w:t>
            </w:r>
          </w:p>
        </w:tc>
      </w:tr>
      <w:tr>
        <w:tc>
          <w:tcPr>
            <w:tcW w:type="dxa" w:w="2160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40" w:after="40" w:line="276" w:lineRule="auto"/>
            </w:pPr>
            <w:r>
              <w:rPr>
                <w:rFonts w:ascii="Microsoft YaHei" w:hAnsi="Microsoft YaHei" w:eastAsia="Microsoft YaHei"/>
                <w:color w:val="1E293B"/>
                <w:sz w:val="18"/>
              </w:rPr>
              <w:t>编制日期</w:t>
            </w:r>
          </w:p>
        </w:tc>
        <w:tc>
          <w:tcPr>
            <w:tcW w:type="dxa" w:w="7200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40" w:after="40" w:line="276" w:lineRule="auto"/>
            </w:pPr>
            <w:r>
              <w:rPr>
                <w:rFonts w:ascii="Microsoft YaHei" w:hAnsi="Microsoft YaHei" w:eastAsia="Microsoft YaHei"/>
                <w:color w:val="1E293B"/>
                <w:sz w:val="18"/>
              </w:rPr>
              <w:t>2026年10月</w:t>
            </w:r>
          </w:p>
        </w:tc>
      </w:tr>
      <w:tr>
        <w:tc>
          <w:tcPr>
            <w:tcW w:type="dxa" w:w="2160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40" w:after="40" w:line="276" w:lineRule="auto"/>
            </w:pPr>
            <w:r>
              <w:rPr>
                <w:rFonts w:ascii="Microsoft YaHei" w:hAnsi="Microsoft YaHei" w:eastAsia="Microsoft YaHei"/>
                <w:color w:val="1E293B"/>
                <w:sz w:val="18"/>
              </w:rPr>
              <w:t>核心技术</w:t>
            </w:r>
          </w:p>
        </w:tc>
        <w:tc>
          <w:tcPr>
            <w:tcW w:type="dxa" w:w="7200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40" w:after="40" w:line="276" w:lineRule="auto"/>
            </w:pPr>
            <w:r>
              <w:rPr>
                <w:rFonts w:ascii="Microsoft YaHei" w:hAnsi="Microsoft YaHei" w:eastAsia="Microsoft YaHei"/>
                <w:color w:val="1E293B"/>
                <w:sz w:val="18"/>
              </w:rPr>
              <w:t>Node.js 22+ (原生 SQLite) / Web 原生响应式架构 / OpenAI 兼容服务 / python-docx</w:t>
            </w:r>
          </w:p>
        </w:tc>
      </w:tr>
    </w:tbl>
    <w:p>
      <w:r>
        <w:br w:type="page"/>
      </w:r>
    </w:p>
    <w:p>
      <w:pPr>
        <w:keepNext/>
        <w:spacing w:before="360" w:after="120"/>
      </w:pPr>
      <w:r>
        <w:rPr>
          <w:rFonts w:ascii="Microsoft YaHei" w:hAnsi="Microsoft YaHei" w:eastAsia="Microsoft YaHei"/>
          <w:b/>
          <w:color w:val="1F4E79"/>
          <w:sz w:val="32"/>
        </w:rPr>
        <w:t>一、系统定位与设计理念</w:t>
      </w:r>
    </w:p>
    <w:p>
      <w:pPr>
        <w:keepNext/>
        <w:spacing w:before="240" w:after="80"/>
      </w:pPr>
      <w:r>
        <w:rPr>
          <w:rFonts w:ascii="Microsoft YaHei" w:hAnsi="Microsoft YaHei" w:eastAsia="Microsoft YaHei"/>
          <w:b/>
          <w:color w:val="2B6CB0"/>
          <w:sz w:val="26"/>
        </w:rPr>
        <w:t>1.1 系统背景与设计初衷</w:t>
      </w:r>
    </w:p>
    <w:p>
      <w:r>
        <w:t>“作战概念研究工作台”（Combat Concept AI Workbench）是一套面向军事分析人员、作战概念研究人员与想定规划人员的专业级研究辅助平台。系统旨在解决传统作战概念论证周期长、文本与架构模型脱节、态势标绘手工重复、逻辑一致性难以闭环验证等核心痛点。</w:t>
      </w:r>
    </w:p>
    <w:p>
      <w:r>
        <w:t>平台并非普通对话式 AI 工具，而是以“严格研究工作流”为轴心，将研究人员模糊、碎片的作战灵感，逐步转化为符合 DoDAF 2.02 / DM2 体系规范的高层概念模型，并最终自动实例化为可推演、可审查的抽象想定与验证方案。</w:t>
      </w:r>
    </w:p>
    <w:p>
      <w:pPr>
        <w:keepNext/>
        <w:spacing w:before="240" w:after="80"/>
      </w:pPr>
      <w:r>
        <w:rPr>
          <w:rFonts w:ascii="Microsoft YaHei" w:hAnsi="Microsoft YaHei" w:eastAsia="Microsoft YaHei"/>
          <w:b/>
          <w:color w:val="2B6CB0"/>
          <w:sz w:val="26"/>
        </w:rPr>
        <w:t>1.2 五大核心设计理念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0F7FF"/>
            <w:tcMar>
              <w:top w:w="160" w:type="dxa"/>
              <w:bottom w:w="160" w:type="dxa"/>
              <w:left w:w="220" w:type="dxa"/>
              <w:right w:w="200" w:type="dxa"/>
            </w:tcMar>
            <w:tcBorders>
              <w:left w:val="single" w:sz="24" w:space="0" w:color="1F4E79"/>
              <w:top w:val="none"/>
              <w:bottom w:val="none"/>
              <w:right w:val="none"/>
            </w:tcBorders>
          </w:tcPr>
          <w:p>
            <w:pPr>
              <w:spacing w:before="40" w:after="40" w:line="288" w:lineRule="auto"/>
            </w:pPr>
            <w:r>
              <w:rPr>
                <w:rFonts w:ascii="Microsoft YaHei" w:hAnsi="Microsoft YaHei" w:eastAsia="Microsoft YaHei"/>
                <w:b/>
                <w:color w:val="1F4E79"/>
                <w:sz w:val="21"/>
              </w:rPr>
              <w:t>【工作台核心设计哲学】</w:t>
              <w:br/>
            </w:r>
            <w:r>
              <w:rPr>
                <w:rFonts w:ascii="Microsoft YaHei" w:hAnsi="Microsoft YaHei" w:eastAsia="Microsoft YaHei"/>
                <w:color w:val="334155"/>
                <w:sz w:val="19"/>
              </w:rPr>
              <w:t>1. 灵感到想定，一气呵成：从一句话灵感发散起步，AI 负责追问、建模、补全与推导，人工负责引导、甄选、复核与微调。</w:t>
              <w:br/>
              <w:t>2. 多视图协同，逐级具象：建立从“总体概念 -&gt; 作战阶段 -&gt; 作战任务 -&gt; 兵力编组 -&gt; 概念图空间布局 -&gt; 仿真演示”的自顶向下演进链。</w:t>
              <w:br/>
              <w:t>3. 知识原生驱动：深度对接 Obsidian 知识库与 CMO 装备库，使装备参数、历史战例、条令规范直接融入生成与校验。</w:t>
              <w:br/>
              <w:t>4. 资产无缝衔接：不推翻既有标绘与仿真工具，通过标准化数据流向（GeoJSON/mapInput）实现与外部标绘软件双向桥接。</w:t>
              <w:br/>
              <w:t>5. 验证前置与红方对抗：在设计阶段即介入活动逻辑死锁检查、OODA周期分析与AI红方反制，早暴露问题，减少仿真返工。</w:t>
            </w:r>
          </w:p>
        </w:tc>
      </w:tr>
    </w:tbl>
    <w:p>
      <w:pPr>
        <w:spacing w:after="80"/>
      </w:pPr>
    </w:p>
    <w:p>
      <w:pPr>
        <w:keepNext/>
        <w:spacing w:before="240" w:after="80"/>
      </w:pPr>
      <w:r>
        <w:rPr>
          <w:rFonts w:ascii="Microsoft YaHei" w:hAnsi="Microsoft YaHei" w:eastAsia="Microsoft YaHei"/>
          <w:b/>
          <w:color w:val="2B6CB0"/>
          <w:sz w:val="26"/>
        </w:rPr>
        <w:t>1.3 技术架构与组件分工</w:t>
      </w:r>
    </w:p>
    <w:p>
      <w:r>
        <w:t>工作台采用简洁、高内聚、易于内网独立部署的技术选型：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1D5DB"/>
          <w:bottom w:val="single" w:sz="4" w:space="0" w:color="D1D5DB"/>
          <w:insideH w:val="single" w:sz="4" w:space="0" w:color="D1D5DB"/>
          <w:insideV w:val="none"/>
          <w:left w:val="none"/>
          <w:right w:val="none"/>
        </w:tblBorders>
      </w:tblPr>
      <w:tblGrid>
        <w:gridCol w:w="3120"/>
        <w:gridCol w:w="3120"/>
        <w:gridCol w:w="3120"/>
      </w:tblGrid>
      <w:tr>
        <w:tc>
          <w:tcPr>
            <w:tcW w:type="dxa" w:w="2160"/>
            <w:shd w:fill="1F4E79"/>
            <w:tcMar>
              <w:top w:w="140" w:type="dxa"/>
              <w:bottom w:w="140" w:type="dxa"/>
              <w:left w:w="140" w:type="dxa"/>
              <w:right w:w="14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组件名称</w:t>
            </w:r>
          </w:p>
        </w:tc>
        <w:tc>
          <w:tcPr>
            <w:tcW w:type="dxa" w:w="5040"/>
            <w:shd w:fill="1F4E79"/>
            <w:tcMar>
              <w:top w:w="140" w:type="dxa"/>
              <w:bottom w:w="140" w:type="dxa"/>
              <w:left w:w="140" w:type="dxa"/>
              <w:right w:w="14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核心职责与实现机制</w:t>
            </w:r>
          </w:p>
        </w:tc>
        <w:tc>
          <w:tcPr>
            <w:tcW w:type="dxa" w:w="2160"/>
            <w:shd w:fill="1F4E79"/>
            <w:tcMar>
              <w:top w:w="140" w:type="dxa"/>
              <w:bottom w:w="140" w:type="dxa"/>
              <w:left w:w="140" w:type="dxa"/>
              <w:right w:w="14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运行特征</w:t>
            </w:r>
          </w:p>
        </w:tc>
      </w:tr>
      <w:tr>
        <w:tc>
          <w:tcPr>
            <w:tcW w:type="dxa" w:w="2160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40" w:after="40" w:line="276" w:lineRule="auto"/>
            </w:pPr>
            <w:r>
              <w:rPr>
                <w:rFonts w:ascii="Microsoft YaHei" w:hAnsi="Microsoft YaHei" w:eastAsia="Microsoft YaHei"/>
                <w:color w:val="1E293B"/>
                <w:sz w:val="18"/>
              </w:rPr>
              <w:t>Web 前端</w:t>
              <w:br/>
              <w:t>(Design Studio)</w:t>
            </w:r>
          </w:p>
        </w:tc>
        <w:tc>
          <w:tcPr>
            <w:tcW w:type="dxa" w:w="5040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40" w:after="40" w:line="276" w:lineRule="auto"/>
            </w:pPr>
            <w:r>
              <w:rPr>
                <w:rFonts w:ascii="Microsoft YaHei" w:hAnsi="Microsoft YaHei" w:eastAsia="Microsoft YaHei"/>
                <w:color w:val="1E293B"/>
                <w:sz w:val="18"/>
              </w:rPr>
              <w:t>原生现代化 ES 模块构建，集成画布拖拽、左侧七步主流程轨道、实时关联模型拓扑展开、上下文属性面板与知识抽屉。</w:t>
            </w:r>
          </w:p>
        </w:tc>
        <w:tc>
          <w:tcPr>
            <w:tcW w:type="dxa" w:w="2160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40" w:after="40" w:line="276" w:lineRule="auto"/>
            </w:pPr>
            <w:r>
              <w:rPr>
                <w:rFonts w:ascii="Microsoft YaHei" w:hAnsi="Microsoft YaHei" w:eastAsia="Microsoft YaHei"/>
                <w:color w:val="1E293B"/>
                <w:sz w:val="18"/>
              </w:rPr>
              <w:t>浏览器端无状态轻量化交互，毫秒级响应</w:t>
            </w:r>
          </w:p>
        </w:tc>
      </w:tr>
      <w:tr>
        <w:tc>
          <w:tcPr>
            <w:tcW w:type="dxa" w:w="2160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40" w:after="40" w:line="276" w:lineRule="auto"/>
            </w:pPr>
            <w:r>
              <w:rPr>
                <w:rFonts w:ascii="Microsoft YaHei" w:hAnsi="Microsoft YaHei" w:eastAsia="Microsoft YaHei"/>
                <w:color w:val="1E293B"/>
                <w:sz w:val="18"/>
              </w:rPr>
              <w:t>服务端 Runtime</w:t>
              <w:br/>
              <w:t>(Node.js 服务)</w:t>
            </w:r>
          </w:p>
        </w:tc>
        <w:tc>
          <w:tcPr>
            <w:tcW w:type="dxa" w:w="5040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40" w:after="40" w:line="276" w:lineRule="auto"/>
            </w:pPr>
            <w:r>
              <w:rPr>
                <w:rFonts w:ascii="Microsoft YaHei" w:hAnsi="Microsoft YaHei" w:eastAsia="Microsoft YaHei"/>
                <w:color w:val="1E293B"/>
                <w:sz w:val="18"/>
              </w:rPr>
              <w:t>采用 Node.js 原生 SQLite 引擎进行模型存储与审计追溯；管理 AI 提示词路由、知识库混合检索、Office 导出与数据版本化治理。</w:t>
            </w:r>
          </w:p>
        </w:tc>
        <w:tc>
          <w:tcPr>
            <w:tcW w:type="dxa" w:w="2160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40" w:after="40" w:line="276" w:lineRule="auto"/>
            </w:pPr>
            <w:r>
              <w:rPr>
                <w:rFonts w:ascii="Microsoft YaHei" w:hAnsi="Microsoft YaHei" w:eastAsia="Microsoft YaHei"/>
                <w:color w:val="1E293B"/>
                <w:sz w:val="18"/>
              </w:rPr>
              <w:t>默认端口 8792</w:t>
              <w:br/>
              <w:t>提供 RESTful 接口与状态机</w:t>
            </w:r>
          </w:p>
        </w:tc>
      </w:tr>
      <w:tr>
        <w:tc>
          <w:tcPr>
            <w:tcW w:type="dxa" w:w="2160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40" w:after="40" w:line="276" w:lineRule="auto"/>
            </w:pPr>
            <w:r>
              <w:rPr>
                <w:rFonts w:ascii="Microsoft YaHei" w:hAnsi="Microsoft YaHei" w:eastAsia="Microsoft YaHei"/>
                <w:color w:val="1E293B"/>
                <w:sz w:val="18"/>
              </w:rPr>
              <w:t>外部概念图标绘工具</w:t>
              <w:br/>
              <w:t>(Combat Map)</w:t>
            </w:r>
          </w:p>
        </w:tc>
        <w:tc>
          <w:tcPr>
            <w:tcW w:type="dxa" w:w="5040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40" w:after="40" w:line="276" w:lineRule="auto"/>
            </w:pPr>
            <w:r>
              <w:rPr>
                <w:rFonts w:ascii="Microsoft YaHei" w:hAnsi="Microsoft YaHei" w:eastAsia="Microsoft YaHei"/>
                <w:color w:val="1E293B"/>
                <w:sz w:val="18"/>
              </w:rPr>
              <w:t>独立进程运行的轻量空间标绘服务（8765 端口），承载兵力部署空间化、阶段作战要素标绘，通过 iframe 与 postMessage 桥接工作台。</w:t>
            </w:r>
          </w:p>
        </w:tc>
        <w:tc>
          <w:tcPr>
            <w:tcW w:type="dxa" w:w="2160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40" w:after="40" w:line="276" w:lineRule="auto"/>
            </w:pPr>
            <w:r>
              <w:rPr>
                <w:rFonts w:ascii="Microsoft YaHei" w:hAnsi="Microsoft YaHei" w:eastAsia="Microsoft YaHei"/>
                <w:color w:val="1E293B"/>
                <w:sz w:val="18"/>
              </w:rPr>
              <w:t>默认端口 8765</w:t>
              <w:br/>
              <w:t>双向数据同步与批次锁定</w:t>
            </w:r>
          </w:p>
        </w:tc>
      </w:tr>
      <w:tr>
        <w:tc>
          <w:tcPr>
            <w:tcW w:type="dxa" w:w="2160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40" w:after="40" w:line="276" w:lineRule="auto"/>
            </w:pPr>
            <w:r>
              <w:rPr>
                <w:rFonts w:ascii="Microsoft YaHei" w:hAnsi="Microsoft YaHei" w:eastAsia="Microsoft YaHei"/>
                <w:color w:val="1E293B"/>
                <w:sz w:val="18"/>
              </w:rPr>
              <w:t>AI 认知驱动层</w:t>
              <w:br/>
              <w:t>(AI Client)</w:t>
            </w:r>
          </w:p>
        </w:tc>
        <w:tc>
          <w:tcPr>
            <w:tcW w:type="dxa" w:w="5040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40" w:after="40" w:line="276" w:lineRule="auto"/>
            </w:pPr>
            <w:r>
              <w:rPr>
                <w:rFonts w:ascii="Microsoft YaHei" w:hAnsi="Microsoft YaHei" w:eastAsia="Microsoft YaHei"/>
                <w:color w:val="1E293B"/>
                <w:sz w:val="18"/>
              </w:rPr>
              <w:t>支持 OpenAI 兼容 API、内网大模型服务以及本地启发式降级规则。所有 API 密钥严格保存在进程内存，不落盘、不入库。</w:t>
            </w:r>
          </w:p>
        </w:tc>
        <w:tc>
          <w:tcPr>
            <w:tcW w:type="dxa" w:w="2160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40" w:after="40" w:line="276" w:lineRule="auto"/>
            </w:pPr>
            <w:r>
              <w:rPr>
                <w:rFonts w:ascii="Microsoft YaHei" w:hAnsi="Microsoft YaHei" w:eastAsia="Microsoft YaHei"/>
                <w:color w:val="1E293B"/>
                <w:sz w:val="18"/>
              </w:rPr>
              <w:t>多模型适配、提示词透明化治理</w:t>
            </w:r>
          </w:p>
        </w:tc>
      </w:tr>
    </w:tbl>
    <w:p>
      <w:pPr>
        <w:keepNext/>
        <w:spacing w:before="360" w:after="120"/>
      </w:pPr>
      <w:r>
        <w:rPr>
          <w:rFonts w:ascii="Microsoft YaHei" w:hAnsi="Microsoft YaHei" w:eastAsia="Microsoft YaHei"/>
          <w:b/>
          <w:color w:val="1F4E79"/>
          <w:sz w:val="32"/>
        </w:rPr>
        <w:t>二、核心业务主线流程（七步主线）</w:t>
      </w:r>
    </w:p>
    <w:p>
      <w:r>
        <w:t>工作台严格遵循“主线驱动、逐级具象、门禁控制”的研究范式。左侧流程轨道固定由七大权威主线步骤构成，每一步骤均具备明确的权威数据产物与阶段确认门禁：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1D5DB"/>
          <w:bottom w:val="single" w:sz="4" w:space="0" w:color="D1D5DB"/>
          <w:insideH w:val="single" w:sz="4" w:space="0" w:color="D1D5DB"/>
          <w:insideV w:val="none"/>
          <w:left w:val="none"/>
          <w:right w:val="none"/>
        </w:tblBorders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296"/>
            <w:shd w:fill="1F4E79"/>
            <w:tcMar>
              <w:top w:w="140" w:type="dxa"/>
              <w:bottom w:w="140" w:type="dxa"/>
              <w:left w:w="140" w:type="dxa"/>
              <w:right w:w="14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步骤</w:t>
            </w:r>
          </w:p>
        </w:tc>
        <w:tc>
          <w:tcPr>
            <w:tcW w:type="dxa" w:w="1440"/>
            <w:shd w:fill="1F4E79"/>
            <w:tcMar>
              <w:top w:w="140" w:type="dxa"/>
              <w:bottom w:w="140" w:type="dxa"/>
              <w:left w:w="140" w:type="dxa"/>
              <w:right w:w="14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资源键</w:t>
            </w:r>
          </w:p>
        </w:tc>
        <w:tc>
          <w:tcPr>
            <w:tcW w:type="dxa" w:w="1584"/>
            <w:shd w:fill="1F4E79"/>
            <w:tcMar>
              <w:top w:w="140" w:type="dxa"/>
              <w:bottom w:w="140" w:type="dxa"/>
              <w:left w:w="140" w:type="dxa"/>
              <w:right w:w="14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显示名称</w:t>
            </w:r>
          </w:p>
        </w:tc>
        <w:tc>
          <w:tcPr>
            <w:tcW w:type="dxa" w:w="3312"/>
            <w:shd w:fill="1F4E79"/>
            <w:tcMar>
              <w:top w:w="140" w:type="dxa"/>
              <w:bottom w:w="140" w:type="dxa"/>
              <w:left w:w="140" w:type="dxa"/>
              <w:right w:w="14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核心产物内容</w:t>
            </w:r>
          </w:p>
        </w:tc>
        <w:tc>
          <w:tcPr>
            <w:tcW w:type="dxa" w:w="1728"/>
            <w:shd w:fill="1F4E79"/>
            <w:tcMar>
              <w:top w:w="140" w:type="dxa"/>
              <w:bottom w:w="140" w:type="dxa"/>
              <w:left w:w="140" w:type="dxa"/>
              <w:right w:w="14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门禁准出要求</w:t>
            </w:r>
          </w:p>
        </w:tc>
      </w:tr>
      <w:tr>
        <w:tc>
          <w:tcPr>
            <w:tcW w:type="dxa" w:w="1296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40" w:after="40" w:line="276" w:lineRule="auto"/>
            </w:pPr>
            <w:r>
              <w:rPr>
                <w:rFonts w:ascii="Microsoft YaHei" w:hAnsi="Microsoft YaHei" w:eastAsia="Microsoft YaHei"/>
                <w:color w:val="1E293B"/>
                <w:sz w:val="18"/>
              </w:rPr>
              <w:t>01 简报</w:t>
            </w:r>
          </w:p>
        </w:tc>
        <w:tc>
          <w:tcPr>
            <w:tcW w:type="dxa" w:w="1440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40" w:after="40" w:line="276" w:lineRule="auto"/>
            </w:pPr>
            <w:r>
              <w:rPr>
                <w:rFonts w:ascii="Microsoft YaHei" w:hAnsi="Microsoft YaHei" w:eastAsia="Microsoft YaHei"/>
                <w:color w:val="1E293B"/>
                <w:sz w:val="18"/>
              </w:rPr>
              <w:t>brief</w:t>
            </w:r>
          </w:p>
        </w:tc>
        <w:tc>
          <w:tcPr>
            <w:tcW w:type="dxa" w:w="1584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40" w:after="40" w:line="276" w:lineRule="auto"/>
            </w:pPr>
            <w:r>
              <w:rPr>
                <w:rFonts w:ascii="Microsoft YaHei" w:hAnsi="Microsoft YaHei" w:eastAsia="Microsoft YaHei"/>
                <w:color w:val="1E293B"/>
                <w:sz w:val="18"/>
              </w:rPr>
              <w:t>概念简报</w:t>
            </w:r>
          </w:p>
        </w:tc>
        <w:tc>
          <w:tcPr>
            <w:tcW w:type="dxa" w:w="3312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40" w:after="40" w:line="276" w:lineRule="auto"/>
            </w:pPr>
            <w:r>
              <w:rPr>
                <w:rFonts w:ascii="Microsoft YaHei" w:hAnsi="Microsoft YaHei" w:eastAsia="Microsoft YaHei"/>
                <w:color w:val="1E293B"/>
                <w:sz w:val="18"/>
              </w:rPr>
              <w:t>研究意图、目标、路线、假设、预期效果、风险、证据</w:t>
            </w:r>
          </w:p>
        </w:tc>
        <w:tc>
          <w:tcPr>
            <w:tcW w:type="dxa" w:w="1728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40" w:after="40" w:line="276" w:lineRule="auto"/>
            </w:pPr>
            <w:r>
              <w:rPr>
                <w:rFonts w:ascii="Microsoft YaHei" w:hAnsi="Microsoft YaHei" w:eastAsia="Microsoft YaHei"/>
                <w:color w:val="1E293B"/>
                <w:sz w:val="18"/>
              </w:rPr>
              <w:t>简报六要素齐全且无待补充项</w:t>
            </w:r>
          </w:p>
        </w:tc>
      </w:tr>
      <w:tr>
        <w:tc>
          <w:tcPr>
            <w:tcW w:type="dxa" w:w="1296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40" w:after="40" w:line="276" w:lineRule="auto"/>
            </w:pPr>
            <w:r>
              <w:rPr>
                <w:rFonts w:ascii="Microsoft YaHei" w:hAnsi="Microsoft YaHei" w:eastAsia="Microsoft YaHei"/>
                <w:color w:val="1E293B"/>
                <w:sz w:val="18"/>
              </w:rPr>
              <w:t>02 阶段行动</w:t>
            </w:r>
          </w:p>
        </w:tc>
        <w:tc>
          <w:tcPr>
            <w:tcW w:type="dxa" w:w="1440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40" w:after="40" w:line="276" w:lineRule="auto"/>
            </w:pPr>
            <w:r>
              <w:rPr>
                <w:rFonts w:ascii="Microsoft YaHei" w:hAnsi="Microsoft YaHei" w:eastAsia="Microsoft YaHei"/>
                <w:color w:val="1E293B"/>
                <w:sz w:val="18"/>
              </w:rPr>
              <w:t>phase-action</w:t>
            </w:r>
          </w:p>
        </w:tc>
        <w:tc>
          <w:tcPr>
            <w:tcW w:type="dxa" w:w="1584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40" w:after="40" w:line="276" w:lineRule="auto"/>
            </w:pPr>
            <w:r>
              <w:rPr>
                <w:rFonts w:ascii="Microsoft YaHei" w:hAnsi="Microsoft YaHei" w:eastAsia="Microsoft YaHei"/>
                <w:color w:val="1E293B"/>
                <w:sz w:val="18"/>
              </w:rPr>
              <w:t>阶段与行动</w:t>
            </w:r>
          </w:p>
        </w:tc>
        <w:tc>
          <w:tcPr>
            <w:tcW w:type="dxa" w:w="3312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40" w:after="40" w:line="276" w:lineRule="auto"/>
            </w:pPr>
            <w:r>
              <w:rPr>
                <w:rFonts w:ascii="Microsoft YaHei" w:hAnsi="Microsoft YaHei" w:eastAsia="Microsoft YaHei"/>
                <w:color w:val="1E293B"/>
                <w:sz w:val="18"/>
              </w:rPr>
              <w:t>作战聚焦、作战阶段时序链、红蓝双方行动、准入准出条件</w:t>
            </w:r>
          </w:p>
        </w:tc>
        <w:tc>
          <w:tcPr>
            <w:tcW w:type="dxa" w:w="1728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40" w:after="40" w:line="276" w:lineRule="auto"/>
            </w:pPr>
            <w:r>
              <w:rPr>
                <w:rFonts w:ascii="Microsoft YaHei" w:hAnsi="Microsoft YaHei" w:eastAsia="Microsoft YaHei"/>
                <w:color w:val="1E293B"/>
                <w:sz w:val="18"/>
              </w:rPr>
              <w:t>阶段划分与双方行动已人工确认</w:t>
            </w:r>
          </w:p>
        </w:tc>
      </w:tr>
      <w:tr>
        <w:tc>
          <w:tcPr>
            <w:tcW w:type="dxa" w:w="1296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40" w:after="40" w:line="276" w:lineRule="auto"/>
            </w:pPr>
            <w:r>
              <w:rPr>
                <w:rFonts w:ascii="Microsoft YaHei" w:hAnsi="Microsoft YaHei" w:eastAsia="Microsoft YaHei"/>
                <w:color w:val="1E293B"/>
                <w:sz w:val="18"/>
              </w:rPr>
              <w:t>03 作战任务</w:t>
            </w:r>
          </w:p>
        </w:tc>
        <w:tc>
          <w:tcPr>
            <w:tcW w:type="dxa" w:w="1440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40" w:after="40" w:line="276" w:lineRule="auto"/>
            </w:pPr>
            <w:r>
              <w:rPr>
                <w:rFonts w:ascii="Microsoft YaHei" w:hAnsi="Microsoft YaHei" w:eastAsia="Microsoft YaHei"/>
                <w:color w:val="1E293B"/>
                <w:sz w:val="18"/>
              </w:rPr>
              <w:t>operational-task</w:t>
            </w:r>
          </w:p>
        </w:tc>
        <w:tc>
          <w:tcPr>
            <w:tcW w:type="dxa" w:w="1584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40" w:after="40" w:line="276" w:lineRule="auto"/>
            </w:pPr>
            <w:r>
              <w:rPr>
                <w:rFonts w:ascii="Microsoft YaHei" w:hAnsi="Microsoft YaHei" w:eastAsia="Microsoft YaHei"/>
                <w:color w:val="1E293B"/>
                <w:sz w:val="18"/>
              </w:rPr>
              <w:t>作战任务</w:t>
            </w:r>
          </w:p>
        </w:tc>
        <w:tc>
          <w:tcPr>
            <w:tcW w:type="dxa" w:w="3312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40" w:after="40" w:line="276" w:lineRule="auto"/>
            </w:pPr>
            <w:r>
              <w:rPr>
                <w:rFonts w:ascii="Microsoft YaHei" w:hAnsi="Microsoft YaHei" w:eastAsia="Microsoft YaHei"/>
                <w:color w:val="1E293B"/>
                <w:sz w:val="18"/>
              </w:rPr>
              <w:t>作战任务清单、阵营分配、任务类型、行动区域、目标与效果</w:t>
            </w:r>
          </w:p>
        </w:tc>
        <w:tc>
          <w:tcPr>
            <w:tcW w:type="dxa" w:w="1728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40" w:after="40" w:line="276" w:lineRule="auto"/>
            </w:pPr>
            <w:r>
              <w:rPr>
                <w:rFonts w:ascii="Microsoft YaHei" w:hAnsi="Microsoft YaHei" w:eastAsia="Microsoft YaHei"/>
                <w:color w:val="1E293B"/>
                <w:sz w:val="18"/>
              </w:rPr>
              <w:t>作战任务清单已人工确认</w:t>
            </w:r>
          </w:p>
        </w:tc>
      </w:tr>
      <w:tr>
        <w:tc>
          <w:tcPr>
            <w:tcW w:type="dxa" w:w="1296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40" w:after="40" w:line="276" w:lineRule="auto"/>
            </w:pPr>
            <w:r>
              <w:rPr>
                <w:rFonts w:ascii="Microsoft YaHei" w:hAnsi="Microsoft YaHei" w:eastAsia="Microsoft YaHei"/>
                <w:color w:val="1E293B"/>
                <w:sz w:val="18"/>
              </w:rPr>
              <w:t>04 作战兵力</w:t>
            </w:r>
          </w:p>
        </w:tc>
        <w:tc>
          <w:tcPr>
            <w:tcW w:type="dxa" w:w="1440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40" w:after="40" w:line="276" w:lineRule="auto"/>
            </w:pPr>
            <w:r>
              <w:rPr>
                <w:rFonts w:ascii="Microsoft YaHei" w:hAnsi="Microsoft YaHei" w:eastAsia="Microsoft YaHei"/>
                <w:color w:val="1E293B"/>
                <w:sz w:val="18"/>
              </w:rPr>
              <w:t>force-mission</w:t>
            </w:r>
          </w:p>
        </w:tc>
        <w:tc>
          <w:tcPr>
            <w:tcW w:type="dxa" w:w="1584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40" w:after="40" w:line="276" w:lineRule="auto"/>
            </w:pPr>
            <w:r>
              <w:rPr>
                <w:rFonts w:ascii="Microsoft YaHei" w:hAnsi="Microsoft YaHei" w:eastAsia="Microsoft YaHei"/>
                <w:color w:val="1E293B"/>
                <w:sz w:val="18"/>
              </w:rPr>
              <w:t>作战兵力</w:t>
            </w:r>
          </w:p>
        </w:tc>
        <w:tc>
          <w:tcPr>
            <w:tcW w:type="dxa" w:w="3312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40" w:after="40" w:line="276" w:lineRule="auto"/>
            </w:pPr>
            <w:r>
              <w:rPr>
                <w:rFonts w:ascii="Microsoft YaHei" w:hAnsi="Microsoft YaHei" w:eastAsia="Microsoft YaHei"/>
                <w:color w:val="1E293B"/>
                <w:sz w:val="18"/>
              </w:rPr>
              <w:t>兵力编组（编队/平台/载荷）、任务承接矩阵、CMO装备引用</w:t>
            </w:r>
          </w:p>
        </w:tc>
        <w:tc>
          <w:tcPr>
            <w:tcW w:type="dxa" w:w="1728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40" w:after="40" w:line="276" w:lineRule="auto"/>
            </w:pPr>
            <w:r>
              <w:rPr>
                <w:rFonts w:ascii="Microsoft YaHei" w:hAnsi="Microsoft YaHei" w:eastAsia="Microsoft YaHei"/>
                <w:color w:val="1E293B"/>
                <w:sz w:val="18"/>
              </w:rPr>
              <w:t>兵力与任务承接关系已人工确认</w:t>
            </w:r>
          </w:p>
        </w:tc>
      </w:tr>
      <w:tr>
        <w:tc>
          <w:tcPr>
            <w:tcW w:type="dxa" w:w="1296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40" w:after="40" w:line="276" w:lineRule="auto"/>
            </w:pPr>
            <w:r>
              <w:rPr>
                <w:rFonts w:ascii="Microsoft YaHei" w:hAnsi="Microsoft YaHei" w:eastAsia="Microsoft YaHei"/>
                <w:color w:val="1E293B"/>
                <w:sz w:val="18"/>
              </w:rPr>
              <w:t>05 总体图</w:t>
            </w:r>
          </w:p>
        </w:tc>
        <w:tc>
          <w:tcPr>
            <w:tcW w:type="dxa" w:w="1440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40" w:after="40" w:line="276" w:lineRule="auto"/>
            </w:pPr>
            <w:r>
              <w:rPr>
                <w:rFonts w:ascii="Microsoft YaHei" w:hAnsi="Microsoft YaHei" w:eastAsia="Microsoft YaHei"/>
                <w:color w:val="1E293B"/>
                <w:sz w:val="18"/>
              </w:rPr>
              <w:t>ov1</w:t>
            </w:r>
          </w:p>
        </w:tc>
        <w:tc>
          <w:tcPr>
            <w:tcW w:type="dxa" w:w="1584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40" w:after="40" w:line="276" w:lineRule="auto"/>
            </w:pPr>
            <w:r>
              <w:rPr>
                <w:rFonts w:ascii="Microsoft YaHei" w:hAnsi="Microsoft YaHei" w:eastAsia="Microsoft YaHei"/>
                <w:color w:val="1E293B"/>
                <w:sz w:val="18"/>
              </w:rPr>
              <w:t>总体图(OV1a)</w:t>
            </w:r>
          </w:p>
        </w:tc>
        <w:tc>
          <w:tcPr>
            <w:tcW w:type="dxa" w:w="3312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40" w:after="40" w:line="276" w:lineRule="auto"/>
            </w:pPr>
            <w:r>
              <w:rPr>
                <w:rFonts w:ascii="Microsoft YaHei" w:hAnsi="Microsoft YaHei" w:eastAsia="Microsoft YaHei"/>
                <w:color w:val="1E293B"/>
                <w:sz w:val="18"/>
              </w:rPr>
              <w:t>高层作战构想、核心节点、关键流动（信息/控制/打击/保障）</w:t>
            </w:r>
          </w:p>
        </w:tc>
        <w:tc>
          <w:tcPr>
            <w:tcW w:type="dxa" w:w="1728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40" w:after="40" w:line="276" w:lineRule="auto"/>
            </w:pPr>
            <w:r>
              <w:rPr>
                <w:rFonts w:ascii="Microsoft YaHei" w:hAnsi="Microsoft YaHei" w:eastAsia="Microsoft YaHei"/>
                <w:color w:val="1E293B"/>
                <w:sz w:val="18"/>
              </w:rPr>
              <w:t>总体节点关系完整闭环并已确认</w:t>
            </w:r>
          </w:p>
        </w:tc>
      </w:tr>
      <w:tr>
        <w:tc>
          <w:tcPr>
            <w:tcW w:type="dxa" w:w="1296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40" w:after="40" w:line="276" w:lineRule="auto"/>
            </w:pPr>
            <w:r>
              <w:rPr>
                <w:rFonts w:ascii="Microsoft YaHei" w:hAnsi="Microsoft YaHei" w:eastAsia="Microsoft YaHei"/>
                <w:color w:val="1E293B"/>
                <w:sz w:val="18"/>
              </w:rPr>
              <w:t>06 概念图</w:t>
            </w:r>
          </w:p>
        </w:tc>
        <w:tc>
          <w:tcPr>
            <w:tcW w:type="dxa" w:w="1440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40" w:after="40" w:line="276" w:lineRule="auto"/>
            </w:pPr>
            <w:r>
              <w:rPr>
                <w:rFonts w:ascii="Microsoft YaHei" w:hAnsi="Microsoft YaHei" w:eastAsia="Microsoft YaHei"/>
                <w:color w:val="1E293B"/>
                <w:sz w:val="18"/>
              </w:rPr>
              <w:t>concept-map</w:t>
            </w:r>
          </w:p>
        </w:tc>
        <w:tc>
          <w:tcPr>
            <w:tcW w:type="dxa" w:w="1584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40" w:after="40" w:line="276" w:lineRule="auto"/>
            </w:pPr>
            <w:r>
              <w:rPr>
                <w:rFonts w:ascii="Microsoft YaHei" w:hAnsi="Microsoft YaHei" w:eastAsia="Microsoft YaHei"/>
                <w:color w:val="1E293B"/>
                <w:sz w:val="18"/>
              </w:rPr>
              <w:t>概念图</w:t>
            </w:r>
          </w:p>
        </w:tc>
        <w:tc>
          <w:tcPr>
            <w:tcW w:type="dxa" w:w="3312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40" w:after="40" w:line="276" w:lineRule="auto"/>
            </w:pPr>
            <w:r>
              <w:rPr>
                <w:rFonts w:ascii="Microsoft YaHei" w:hAnsi="Microsoft YaHei" w:eastAsia="Microsoft YaHei"/>
                <w:color w:val="1E293B"/>
                <w:sz w:val="18"/>
              </w:rPr>
              <w:t>兵力与阶段要素的空间相对布局表达、外部标绘图层</w:t>
            </w:r>
          </w:p>
        </w:tc>
        <w:tc>
          <w:tcPr>
            <w:tcW w:type="dxa" w:w="1728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40" w:after="40" w:line="276" w:lineRule="auto"/>
            </w:pPr>
            <w:r>
              <w:rPr>
                <w:rFonts w:ascii="Microsoft YaHei" w:hAnsi="Microsoft YaHei" w:eastAsia="Microsoft YaHei"/>
                <w:color w:val="1E293B"/>
                <w:sz w:val="18"/>
              </w:rPr>
              <w:t>外部概念图研究参考已冻结确认</w:t>
            </w:r>
          </w:p>
        </w:tc>
      </w:tr>
      <w:tr>
        <w:tc>
          <w:tcPr>
            <w:tcW w:type="dxa" w:w="1296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40" w:after="40" w:line="276" w:lineRule="auto"/>
            </w:pPr>
            <w:r>
              <w:rPr>
                <w:rFonts w:ascii="Microsoft YaHei" w:hAnsi="Microsoft YaHei" w:eastAsia="Microsoft YaHei"/>
                <w:color w:val="1E293B"/>
                <w:sz w:val="18"/>
              </w:rPr>
              <w:t>07 仿真演示</w:t>
            </w:r>
          </w:p>
        </w:tc>
        <w:tc>
          <w:tcPr>
            <w:tcW w:type="dxa" w:w="1440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40" w:after="40" w:line="276" w:lineRule="auto"/>
            </w:pPr>
            <w:r>
              <w:rPr>
                <w:rFonts w:ascii="Microsoft YaHei" w:hAnsi="Microsoft YaHei" w:eastAsia="Microsoft YaHei"/>
                <w:color w:val="1E293B"/>
                <w:sz w:val="18"/>
              </w:rPr>
              <w:t>scenario</w:t>
            </w:r>
          </w:p>
        </w:tc>
        <w:tc>
          <w:tcPr>
            <w:tcW w:type="dxa" w:w="1584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40" w:after="40" w:line="276" w:lineRule="auto"/>
            </w:pPr>
            <w:r>
              <w:rPr>
                <w:rFonts w:ascii="Microsoft YaHei" w:hAnsi="Microsoft YaHei" w:eastAsia="Microsoft YaHei"/>
                <w:color w:val="1E293B"/>
                <w:sz w:val="18"/>
              </w:rPr>
              <w:t>仿真演示</w:t>
            </w:r>
          </w:p>
        </w:tc>
        <w:tc>
          <w:tcPr>
            <w:tcW w:type="dxa" w:w="3312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40" w:after="40" w:line="276" w:lineRule="auto"/>
            </w:pPr>
            <w:r>
              <w:rPr>
                <w:rFonts w:ascii="Microsoft YaHei" w:hAnsi="Microsoft YaHei" w:eastAsia="Microsoft YaHei"/>
                <w:color w:val="1E293B"/>
                <w:sz w:val="18"/>
              </w:rPr>
              <w:t>百分比网格想定、推演时序时间线、仿真输入包指纹、验证结论</w:t>
            </w:r>
          </w:p>
        </w:tc>
        <w:tc>
          <w:tcPr>
            <w:tcW w:type="dxa" w:w="1728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40" w:after="40" w:line="276" w:lineRule="auto"/>
            </w:pPr>
            <w:r>
              <w:rPr>
                <w:rFonts w:ascii="Microsoft YaHei" w:hAnsi="Microsoft YaHei" w:eastAsia="Microsoft YaHei"/>
                <w:color w:val="1E293B"/>
                <w:sz w:val="18"/>
              </w:rPr>
              <w:t>最终成果校核，支持归档与导出</w:t>
            </w:r>
          </w:p>
        </w:tc>
      </w:tr>
    </w:tbl>
    <w:p>
      <w:pPr>
        <w:keepNext/>
        <w:spacing w:before="240" w:after="80"/>
      </w:pPr>
      <w:r>
        <w:rPr>
          <w:rFonts w:ascii="Microsoft YaHei" w:hAnsi="Microsoft YaHei" w:eastAsia="Microsoft YaHei"/>
          <w:b/>
          <w:color w:val="2B6CB0"/>
          <w:sz w:val="26"/>
        </w:rPr>
        <w:t>2.1 步骤 01：概念简报（Brief）与多轮灵感孵化</w:t>
      </w:r>
    </w:p>
    <w:p>
      <w:r>
        <w:t>概念简报是作战研究的逻辑源头。系统通过多轮交互将用户的零散直觉转化为严谨的六要素研究简报：</w:t>
      </w:r>
    </w:p>
    <w:p>
      <w:r>
        <w:t>• 六维灵感追问：AI 围绕作战环境、对手能力、己方资源、约束条件、成功标准与核心构想展开多轮有界追问。</w:t>
        <w:br/>
        <w:t>• 概念方向提案卡片：AI 结合问题背景自动发散并生成 2~3 组对比方向（如：电子压制主导型、无人饱和突防型、诱饵佯动协同型），供研究员遴选。</w:t>
        <w:br/>
        <w:t>• 咨询助手（Research Chat）：提供并行研究咨询问答，解答条令、战例与战术机理问题，给出验证关注点，不污染简报正文。</w:t>
        <w:br/>
        <w:t>• 简报六要素结构化提炼：自动提取并人工确认【研究意图】、【研究目标】、【研究路线】、【关键假设】、【预期效果】与【主要风险】。</w:t>
      </w:r>
    </w:p>
    <w:p>
      <w:pPr>
        <w:keepNext/>
        <w:spacing w:before="240" w:after="80"/>
      </w:pPr>
      <w:r>
        <w:rPr>
          <w:rFonts w:ascii="Microsoft YaHei" w:hAnsi="Microsoft YaHei" w:eastAsia="Microsoft YaHei"/>
          <w:b/>
          <w:color w:val="2B6CB0"/>
          <w:sz w:val="26"/>
        </w:rPr>
        <w:t>2.2 步骤 02：阶段与行动（Phase &amp; Action）</w:t>
      </w:r>
    </w:p>
    <w:p>
      <w:r>
        <w:t>将抽象研究目标分解为时间维度上的时序演进过程：</w:t>
      </w:r>
    </w:p>
    <w:p>
      <w:r>
        <w:t>• 作战聚焦选择：AI 从简报提取 3 个聚焦候选，支持自定义新增，确保后续阶段规划紧扣核心战术目的。</w:t>
        <w:br/>
        <w:t>• 动态阶段划设：支持灵活划分 2~12 个作战阶段（如：隐蔽机动与阵地展开、多源侦察与电磁压制、联合打击与毁伤评估、撤离重组等）。</w:t>
        <w:br/>
        <w:t>• 红蓝对抗行动链：每个阶段内细化蓝方反制行动与红方战术行动，明确阶段进入条件与达成退出准则。</w:t>
      </w:r>
    </w:p>
    <w:p>
      <w:pPr>
        <w:keepNext/>
        <w:spacing w:before="240" w:after="80"/>
      </w:pPr>
      <w:r>
        <w:rPr>
          <w:rFonts w:ascii="Microsoft YaHei" w:hAnsi="Microsoft YaHei" w:eastAsia="Microsoft YaHei"/>
          <w:b/>
          <w:color w:val="2B6CB0"/>
          <w:sz w:val="26"/>
        </w:rPr>
        <w:t>2.3 步骤 03：作战任务（Operational Task）</w:t>
      </w:r>
    </w:p>
    <w:p>
      <w:r>
        <w:t>将宏观行动具象化为战役战术级任务指令：</w:t>
      </w:r>
    </w:p>
    <w:p>
      <w:r>
        <w:t>• 任务要素完备化：配置任务阵营（红/蓝/中立）、任务类型（侦察预警/指挥控制/防空拦截/对海突击/电子干扰等）、目标区域及预期达成效果。</w:t>
        <w:br/>
        <w:t>• 时序依赖与协同关系：梳理任务前置依赖与并行协同逻辑，为下游兵力编配建立明确的任务载荷需求。</w:t>
      </w:r>
    </w:p>
    <w:p>
      <w:pPr>
        <w:keepNext/>
        <w:spacing w:before="240" w:after="80"/>
      </w:pPr>
      <w:r>
        <w:rPr>
          <w:rFonts w:ascii="Microsoft YaHei" w:hAnsi="Microsoft YaHei" w:eastAsia="Microsoft YaHei"/>
          <w:b/>
          <w:color w:val="2B6CB0"/>
          <w:sz w:val="26"/>
        </w:rPr>
        <w:t>2.4 步骤 04：作战兵力与任务承接（Force &amp; Mission）</w:t>
      </w:r>
    </w:p>
    <w:p>
      <w:r>
        <w:t>解决“由谁去打、用什么装备打、谁负责哪个任务”的落地映射：</w:t>
      </w:r>
    </w:p>
    <w:p>
      <w:r>
        <w:t>• 兵力编组配置：构建编队-单元-作战平台层级，配置平台数量、主要载荷与战术通信属性。</w:t>
        <w:br/>
        <w:t>• 任务承接矩阵：建立兵力单元与作战任务的双向绑定，严密审查无兵力承接的任务或无任务闲置的兵力。</w:t>
        <w:br/>
        <w:t>• CMO 装备库推荐：接入现代化装备数据库，根据作战任务类型与平台性能，智能推荐匹配的舰艇、战机、无人机及弹药载荷。</w:t>
      </w:r>
    </w:p>
    <w:p>
      <w:pPr>
        <w:keepNext/>
        <w:spacing w:before="240" w:after="80"/>
      </w:pPr>
      <w:r>
        <w:rPr>
          <w:rFonts w:ascii="Microsoft YaHei" w:hAnsi="Microsoft YaHei" w:eastAsia="Microsoft YaHei"/>
          <w:b/>
          <w:color w:val="2B6CB0"/>
          <w:sz w:val="26"/>
        </w:rPr>
        <w:t>2.5 步骤 05：总体作战概念图（OV-1a Overall Concept）</w:t>
      </w:r>
    </w:p>
    <w:p>
      <w:r>
        <w:t>高层作战构想的全局骨架与全景共识视图：</w:t>
      </w:r>
    </w:p>
    <w:p>
      <w:r>
        <w:t>• 核心节点生成：自动提炼红方核心兵力、蓝方关键目标、电磁环境要素、侦察感知节点、指挥中枢与火力打击节点。</w:t>
        <w:br/>
        <w:t>• 关键关系流闭环：构建信息流（情报/目标数据）、控制流（指挥授权/任务协同）、打击流（火力打击）与评估反馈流，杜绝断头链路与孤立节点。</w:t>
      </w:r>
    </w:p>
    <w:p>
      <w:pPr>
        <w:keepNext/>
        <w:spacing w:before="240" w:after="80"/>
      </w:pPr>
      <w:r>
        <w:rPr>
          <w:rFonts w:ascii="Microsoft YaHei" w:hAnsi="Microsoft YaHei" w:eastAsia="Microsoft YaHei"/>
          <w:b/>
          <w:color w:val="2B6CB0"/>
          <w:sz w:val="26"/>
        </w:rPr>
        <w:t>2.6 步骤 06：作战概念图绘制（Concept Map）</w:t>
      </w:r>
    </w:p>
    <w:p>
      <w:r>
        <w:t>将逻辑拓扑向地理与空间态势投影：</w:t>
      </w:r>
    </w:p>
    <w:p>
      <w:r>
        <w:t>• 独立标绘工具联动：自动与 8765 端口的 Web 标绘服务协同，将已确认阶段与兵力转换为空间相对阵位。</w:t>
        <w:br/>
        <w:t>• 空间图层与态势标号：支持防区外发射线、雷达探测扇区、通信中继链、机动巡逻区等战术图形标绘。</w:t>
        <w:br/>
        <w:t>• 跨进程安全桥接：采用 iframe + postMessage 机制，每次数据交接生成独立版本批次，防止并发覆盖。</w:t>
      </w:r>
    </w:p>
    <w:p>
      <w:pPr>
        <w:keepNext/>
        <w:spacing w:before="240" w:after="80"/>
      </w:pPr>
      <w:r>
        <w:rPr>
          <w:rFonts w:ascii="Microsoft YaHei" w:hAnsi="Microsoft YaHei" w:eastAsia="Microsoft YaHei"/>
          <w:b/>
          <w:color w:val="2B6CB0"/>
          <w:sz w:val="26"/>
        </w:rPr>
        <w:t>2.7 步骤 07：自动想定与仿真演示（Scenario &amp; Simulation）</w:t>
      </w:r>
    </w:p>
    <w:p>
      <w:r>
        <w:t>作战概念向仿真推演的实例化交付终点：</w:t>
      </w:r>
    </w:p>
    <w:p>
      <w:r>
        <w:t>• 抽象网格想定生成：生成标准化百分比网格态势数据、兵力阵位与传感器/火力覆盖包线（支持 GeoJSON/mapInput 导出）。</w:t>
        <w:br/>
        <w:t>• 时间线推进事件序列：依据 OODA 耗时与阶段划分，生成 T+0、T+15、T+30 等事件推演序列。</w:t>
        <w:br/>
        <w:t>• 仿真指纹与结果校核：生成仿真输入包 SHA-256 唯一指纹，结果回传时严格校验指纹一致性，避免旧模型误判。</w:t>
      </w:r>
    </w:p>
    <w:p>
      <w:pPr>
        <w:keepNext/>
        <w:spacing w:before="360" w:after="120"/>
      </w:pPr>
      <w:r>
        <w:rPr>
          <w:rFonts w:ascii="Microsoft YaHei" w:hAnsi="Microsoft YaHei" w:eastAsia="Microsoft YaHei"/>
          <w:b/>
          <w:color w:val="1F4E79"/>
          <w:sz w:val="32"/>
        </w:rPr>
        <w:t>三、关联架构视图与 DoDAF 2.02 / DM2 模型矩阵</w:t>
      </w:r>
    </w:p>
    <w:p>
      <w:r>
        <w:t>为保障军事体系架构的严谨性，工作台并未将 DoDAF 产品机械堆砌在主流程中，而是采用“主线锚点挂接、按需动态展开”的拓扑设计。研究人员进入特定主线步骤时，可在左侧轨道展开关联模型视图，实现精细化编辑与校验反查：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1D5DB"/>
          <w:bottom w:val="single" w:sz="4" w:space="0" w:color="D1D5DB"/>
          <w:insideH w:val="single" w:sz="4" w:space="0" w:color="D1D5DB"/>
          <w:insideV w:val="none"/>
          <w:left w:val="none"/>
          <w:right w:val="none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1440"/>
            <w:shd w:fill="1F4E79"/>
            <w:tcMar>
              <w:top w:w="140" w:type="dxa"/>
              <w:bottom w:w="140" w:type="dxa"/>
              <w:left w:w="140" w:type="dxa"/>
              <w:right w:w="14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模型代号</w:t>
            </w:r>
          </w:p>
        </w:tc>
        <w:tc>
          <w:tcPr>
            <w:tcW w:type="dxa" w:w="2016"/>
            <w:shd w:fill="1F4E79"/>
            <w:tcMar>
              <w:top w:w="140" w:type="dxa"/>
              <w:bottom w:w="140" w:type="dxa"/>
              <w:left w:w="140" w:type="dxa"/>
              <w:right w:w="14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模型名称</w:t>
            </w:r>
          </w:p>
        </w:tc>
        <w:tc>
          <w:tcPr>
            <w:tcW w:type="dxa" w:w="1584"/>
            <w:shd w:fill="1F4E79"/>
            <w:tcMar>
              <w:top w:w="140" w:type="dxa"/>
              <w:bottom w:w="140" w:type="dxa"/>
              <w:left w:w="140" w:type="dxa"/>
              <w:right w:w="14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关联主线锚点</w:t>
            </w:r>
          </w:p>
        </w:tc>
        <w:tc>
          <w:tcPr>
            <w:tcW w:type="dxa" w:w="4320"/>
            <w:shd w:fill="1F4E79"/>
            <w:tcMar>
              <w:top w:w="140" w:type="dxa"/>
              <w:bottom w:w="140" w:type="dxa"/>
              <w:left w:w="140" w:type="dxa"/>
              <w:right w:w="14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功能说明与诊断能力</w:t>
            </w:r>
          </w:p>
        </w:tc>
      </w:tr>
      <w:tr>
        <w:tc>
          <w:tcPr>
            <w:tcW w:type="dxa" w:w="1440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40" w:after="40" w:line="276" w:lineRule="auto"/>
            </w:pPr>
            <w:r>
              <w:rPr>
                <w:rFonts w:ascii="Microsoft YaHei" w:hAnsi="Microsoft YaHei" w:eastAsia="Microsoft YaHei"/>
                <w:color w:val="1E293B"/>
                <w:sz w:val="18"/>
              </w:rPr>
              <w:t>OV-1b</w:t>
            </w:r>
          </w:p>
        </w:tc>
        <w:tc>
          <w:tcPr>
            <w:tcW w:type="dxa" w:w="2016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40" w:after="40" w:line="276" w:lineRule="auto"/>
            </w:pPr>
            <w:r>
              <w:rPr>
                <w:rFonts w:ascii="Microsoft YaHei" w:hAnsi="Microsoft YaHei" w:eastAsia="Microsoft YaHei"/>
                <w:color w:val="1E293B"/>
                <w:sz w:val="18"/>
              </w:rPr>
              <w:t>任务分解模型</w:t>
            </w:r>
          </w:p>
        </w:tc>
        <w:tc>
          <w:tcPr>
            <w:tcW w:type="dxa" w:w="1584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40" w:after="40" w:line="276" w:lineRule="auto"/>
            </w:pPr>
            <w:r>
              <w:rPr>
                <w:rFonts w:ascii="Microsoft YaHei" w:hAnsi="Microsoft YaHei" w:eastAsia="Microsoft YaHei"/>
                <w:color w:val="1E293B"/>
                <w:sz w:val="18"/>
              </w:rPr>
              <w:t>作战任务</w:t>
            </w:r>
          </w:p>
        </w:tc>
        <w:tc>
          <w:tcPr>
            <w:tcW w:type="dxa" w:w="4320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40" w:after="40" w:line="276" w:lineRule="auto"/>
            </w:pPr>
            <w:r>
              <w:rPr>
                <w:rFonts w:ascii="Microsoft YaHei" w:hAnsi="Microsoft YaHei" w:eastAsia="Microsoft YaHei"/>
                <w:color w:val="1E293B"/>
                <w:sz w:val="18"/>
              </w:rPr>
              <w:t>将宏观任务逐层展开为任务分组、子任务树与组内时序，梳理协同执行逻辑。</w:t>
            </w:r>
          </w:p>
        </w:tc>
      </w:tr>
      <w:tr>
        <w:tc>
          <w:tcPr>
            <w:tcW w:type="dxa" w:w="1440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40" w:after="40" w:line="276" w:lineRule="auto"/>
            </w:pPr>
            <w:r>
              <w:rPr>
                <w:rFonts w:ascii="Microsoft YaHei" w:hAnsi="Microsoft YaHei" w:eastAsia="Microsoft YaHei"/>
                <w:color w:val="1E293B"/>
                <w:sz w:val="18"/>
              </w:rPr>
              <w:t>OV-1c</w:t>
            </w:r>
          </w:p>
        </w:tc>
        <w:tc>
          <w:tcPr>
            <w:tcW w:type="dxa" w:w="2016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40" w:after="40" w:line="276" w:lineRule="auto"/>
            </w:pPr>
            <w:r>
              <w:rPr>
                <w:rFonts w:ascii="Microsoft YaHei" w:hAnsi="Microsoft YaHei" w:eastAsia="Microsoft YaHei"/>
                <w:color w:val="1E293B"/>
                <w:sz w:val="18"/>
              </w:rPr>
              <w:t>任务活动映射</w:t>
            </w:r>
          </w:p>
        </w:tc>
        <w:tc>
          <w:tcPr>
            <w:tcW w:type="dxa" w:w="1584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40" w:after="40" w:line="276" w:lineRule="auto"/>
            </w:pPr>
            <w:r>
              <w:rPr>
                <w:rFonts w:ascii="Microsoft YaHei" w:hAnsi="Microsoft YaHei" w:eastAsia="Microsoft YaHei"/>
                <w:color w:val="1E293B"/>
                <w:sz w:val="18"/>
              </w:rPr>
              <w:t>跨模型校核</w:t>
            </w:r>
          </w:p>
        </w:tc>
        <w:tc>
          <w:tcPr>
            <w:tcW w:type="dxa" w:w="4320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40" w:after="40" w:line="276" w:lineRule="auto"/>
            </w:pPr>
            <w:r>
              <w:rPr>
                <w:rFonts w:ascii="Microsoft YaHei" w:hAnsi="Microsoft YaHei" w:eastAsia="Microsoft YaHei"/>
                <w:color w:val="1E293B"/>
                <w:sz w:val="18"/>
              </w:rPr>
              <w:t>核对战术任务与 OV-5b 作战活动之间的双向映射覆盖度，标红未映射活动。</w:t>
            </w:r>
          </w:p>
        </w:tc>
      </w:tr>
      <w:tr>
        <w:tc>
          <w:tcPr>
            <w:tcW w:type="dxa" w:w="1440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40" w:after="40" w:line="276" w:lineRule="auto"/>
            </w:pPr>
            <w:r>
              <w:rPr>
                <w:rFonts w:ascii="Microsoft YaHei" w:hAnsi="Microsoft YaHei" w:eastAsia="Microsoft YaHei"/>
                <w:color w:val="1E293B"/>
                <w:sz w:val="18"/>
              </w:rPr>
              <w:t>OV-2</w:t>
            </w:r>
          </w:p>
        </w:tc>
        <w:tc>
          <w:tcPr>
            <w:tcW w:type="dxa" w:w="2016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40" w:after="40" w:line="276" w:lineRule="auto"/>
            </w:pPr>
            <w:r>
              <w:rPr>
                <w:rFonts w:ascii="Microsoft YaHei" w:hAnsi="Microsoft YaHei" w:eastAsia="Microsoft YaHei"/>
                <w:color w:val="1E293B"/>
                <w:sz w:val="18"/>
              </w:rPr>
              <w:t>作战资源流描述</w:t>
            </w:r>
          </w:p>
        </w:tc>
        <w:tc>
          <w:tcPr>
            <w:tcW w:type="dxa" w:w="1584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40" w:after="40" w:line="276" w:lineRule="auto"/>
            </w:pPr>
            <w:r>
              <w:rPr>
                <w:rFonts w:ascii="Microsoft YaHei" w:hAnsi="Microsoft YaHei" w:eastAsia="Microsoft YaHei"/>
                <w:color w:val="1E293B"/>
                <w:sz w:val="18"/>
              </w:rPr>
              <w:t>作战兵力</w:t>
            </w:r>
          </w:p>
        </w:tc>
        <w:tc>
          <w:tcPr>
            <w:tcW w:type="dxa" w:w="4320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40" w:after="40" w:line="276" w:lineRule="auto"/>
            </w:pPr>
            <w:r>
              <w:rPr>
                <w:rFonts w:ascii="Microsoft YaHei" w:hAnsi="Microsoft YaHei" w:eastAsia="Microsoft YaHei"/>
                <w:color w:val="1E293B"/>
                <w:sz w:val="18"/>
              </w:rPr>
              <w:t>刻画各作战节点（兵力编组）之间的物理资源流、弹药补给流与高层信息流。</w:t>
            </w:r>
          </w:p>
        </w:tc>
      </w:tr>
      <w:tr>
        <w:tc>
          <w:tcPr>
            <w:tcW w:type="dxa" w:w="1440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40" w:after="40" w:line="276" w:lineRule="auto"/>
            </w:pPr>
            <w:r>
              <w:rPr>
                <w:rFonts w:ascii="Microsoft YaHei" w:hAnsi="Microsoft YaHei" w:eastAsia="Microsoft YaHei"/>
                <w:color w:val="1E293B"/>
                <w:sz w:val="18"/>
              </w:rPr>
              <w:t>OV-3</w:t>
            </w:r>
          </w:p>
        </w:tc>
        <w:tc>
          <w:tcPr>
            <w:tcW w:type="dxa" w:w="2016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40" w:after="40" w:line="276" w:lineRule="auto"/>
            </w:pPr>
            <w:r>
              <w:rPr>
                <w:rFonts w:ascii="Microsoft YaHei" w:hAnsi="Microsoft YaHei" w:eastAsia="Microsoft YaHei"/>
                <w:color w:val="1E293B"/>
                <w:sz w:val="18"/>
              </w:rPr>
              <w:t>作战资源流矩阵</w:t>
            </w:r>
          </w:p>
        </w:tc>
        <w:tc>
          <w:tcPr>
            <w:tcW w:type="dxa" w:w="1584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40" w:after="40" w:line="276" w:lineRule="auto"/>
            </w:pPr>
            <w:r>
              <w:rPr>
                <w:rFonts w:ascii="Microsoft YaHei" w:hAnsi="Microsoft YaHei" w:eastAsia="Microsoft YaHei"/>
                <w:color w:val="1E293B"/>
                <w:sz w:val="18"/>
              </w:rPr>
              <w:t>作战兵力</w:t>
            </w:r>
          </w:p>
        </w:tc>
        <w:tc>
          <w:tcPr>
            <w:tcW w:type="dxa" w:w="4320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40" w:after="40" w:line="276" w:lineRule="auto"/>
            </w:pPr>
            <w:r>
              <w:rPr>
                <w:rFonts w:ascii="Microsoft YaHei" w:hAnsi="Microsoft YaHei" w:eastAsia="Microsoft YaHei"/>
                <w:color w:val="1E293B"/>
                <w:sz w:val="18"/>
              </w:rPr>
              <w:t>表格化定义节点间的信息交换接口、数据内容、交换频度、带宽要求与保密级别。</w:t>
            </w:r>
          </w:p>
        </w:tc>
      </w:tr>
      <w:tr>
        <w:tc>
          <w:tcPr>
            <w:tcW w:type="dxa" w:w="1440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40" w:after="40" w:line="276" w:lineRule="auto"/>
            </w:pPr>
            <w:r>
              <w:rPr>
                <w:rFonts w:ascii="Microsoft YaHei" w:hAnsi="Microsoft YaHei" w:eastAsia="Microsoft YaHei"/>
                <w:color w:val="1E293B"/>
                <w:sz w:val="18"/>
              </w:rPr>
              <w:t>OV-4</w:t>
            </w:r>
          </w:p>
        </w:tc>
        <w:tc>
          <w:tcPr>
            <w:tcW w:type="dxa" w:w="2016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40" w:after="40" w:line="276" w:lineRule="auto"/>
            </w:pPr>
            <w:r>
              <w:rPr>
                <w:rFonts w:ascii="Microsoft YaHei" w:hAnsi="Microsoft YaHei" w:eastAsia="Microsoft YaHei"/>
                <w:color w:val="1E293B"/>
                <w:sz w:val="18"/>
              </w:rPr>
              <w:t>作战组织关系图</w:t>
            </w:r>
          </w:p>
        </w:tc>
        <w:tc>
          <w:tcPr>
            <w:tcW w:type="dxa" w:w="1584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40" w:after="40" w:line="276" w:lineRule="auto"/>
            </w:pPr>
            <w:r>
              <w:rPr>
                <w:rFonts w:ascii="Microsoft YaHei" w:hAnsi="Microsoft YaHei" w:eastAsia="Microsoft YaHei"/>
                <w:color w:val="1E293B"/>
                <w:sz w:val="18"/>
              </w:rPr>
              <w:t>作战兵力</w:t>
            </w:r>
          </w:p>
        </w:tc>
        <w:tc>
          <w:tcPr>
            <w:tcW w:type="dxa" w:w="4320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40" w:after="40" w:line="276" w:lineRule="auto"/>
            </w:pPr>
            <w:r>
              <w:rPr>
                <w:rFonts w:ascii="Microsoft YaHei" w:hAnsi="Microsoft YaHei" w:eastAsia="Microsoft YaHei"/>
                <w:color w:val="1E293B"/>
                <w:sz w:val="18"/>
              </w:rPr>
              <w:t>展示作战编队的指挥隶属、战术协同与支援保障层级，诊断指挥关系断层。</w:t>
            </w:r>
          </w:p>
        </w:tc>
      </w:tr>
      <w:tr>
        <w:tc>
          <w:tcPr>
            <w:tcW w:type="dxa" w:w="1440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40" w:after="40" w:line="276" w:lineRule="auto"/>
            </w:pPr>
            <w:r>
              <w:rPr>
                <w:rFonts w:ascii="Microsoft YaHei" w:hAnsi="Microsoft YaHei" w:eastAsia="Microsoft YaHei"/>
                <w:color w:val="1E293B"/>
                <w:sz w:val="18"/>
              </w:rPr>
              <w:t>OV-5a</w:t>
            </w:r>
          </w:p>
        </w:tc>
        <w:tc>
          <w:tcPr>
            <w:tcW w:type="dxa" w:w="2016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40" w:after="40" w:line="276" w:lineRule="auto"/>
            </w:pPr>
            <w:r>
              <w:rPr>
                <w:rFonts w:ascii="Microsoft YaHei" w:hAnsi="Microsoft YaHei" w:eastAsia="Microsoft YaHei"/>
                <w:color w:val="1E293B"/>
                <w:sz w:val="18"/>
              </w:rPr>
              <w:t>活动层级分解树</w:t>
            </w:r>
          </w:p>
        </w:tc>
        <w:tc>
          <w:tcPr>
            <w:tcW w:type="dxa" w:w="1584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40" w:after="40" w:line="276" w:lineRule="auto"/>
            </w:pPr>
            <w:r>
              <w:rPr>
                <w:rFonts w:ascii="Microsoft YaHei" w:hAnsi="Microsoft YaHei" w:eastAsia="Microsoft YaHei"/>
                <w:color w:val="1E293B"/>
                <w:sz w:val="18"/>
              </w:rPr>
              <w:t>总体图</w:t>
            </w:r>
          </w:p>
        </w:tc>
        <w:tc>
          <w:tcPr>
            <w:tcW w:type="dxa" w:w="4320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40" w:after="40" w:line="276" w:lineRule="auto"/>
            </w:pPr>
            <w:r>
              <w:rPr>
                <w:rFonts w:ascii="Microsoft YaHei" w:hAnsi="Microsoft YaHei" w:eastAsia="Microsoft YaHei"/>
                <w:color w:val="1E293B"/>
                <w:sz w:val="18"/>
              </w:rPr>
              <w:t>采用分解清单与父子层级结构，定义战略-战役-战术活动树，不单设孤立页面。</w:t>
            </w:r>
          </w:p>
        </w:tc>
      </w:tr>
      <w:tr>
        <w:tc>
          <w:tcPr>
            <w:tcW w:type="dxa" w:w="1440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40" w:after="40" w:line="276" w:lineRule="auto"/>
            </w:pPr>
            <w:r>
              <w:rPr>
                <w:rFonts w:ascii="Microsoft YaHei" w:hAnsi="Microsoft YaHei" w:eastAsia="Microsoft YaHei"/>
                <w:color w:val="1E293B"/>
                <w:sz w:val="18"/>
              </w:rPr>
              <w:t>OV-5b</w:t>
            </w:r>
          </w:p>
        </w:tc>
        <w:tc>
          <w:tcPr>
            <w:tcW w:type="dxa" w:w="2016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40" w:after="40" w:line="276" w:lineRule="auto"/>
            </w:pPr>
            <w:r>
              <w:rPr>
                <w:rFonts w:ascii="Microsoft YaHei" w:hAnsi="Microsoft YaHei" w:eastAsia="Microsoft YaHei"/>
                <w:color w:val="1E293B"/>
                <w:sz w:val="18"/>
              </w:rPr>
              <w:t>作战活动模型</w:t>
            </w:r>
          </w:p>
        </w:tc>
        <w:tc>
          <w:tcPr>
            <w:tcW w:type="dxa" w:w="1584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40" w:after="40" w:line="276" w:lineRule="auto"/>
            </w:pPr>
            <w:r>
              <w:rPr>
                <w:rFonts w:ascii="Microsoft YaHei" w:hAnsi="Microsoft YaHei" w:eastAsia="Microsoft YaHei"/>
                <w:color w:val="1E293B"/>
                <w:sz w:val="18"/>
              </w:rPr>
              <w:t>总体图</w:t>
            </w:r>
          </w:p>
        </w:tc>
        <w:tc>
          <w:tcPr>
            <w:tcW w:type="dxa" w:w="4320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40" w:after="40" w:line="276" w:lineRule="auto"/>
            </w:pPr>
            <w:r>
              <w:rPr>
                <w:rFonts w:ascii="Microsoft YaHei" w:hAnsi="Microsoft YaHei" w:eastAsia="Microsoft YaHei"/>
                <w:color w:val="1E293B"/>
                <w:sz w:val="18"/>
              </w:rPr>
              <w:t>核心活动模型，描述侦察、决策、打击、评估等活动间的信息流、控制流与资源流。</w:t>
            </w:r>
          </w:p>
        </w:tc>
      </w:tr>
      <w:tr>
        <w:tc>
          <w:tcPr>
            <w:tcW w:type="dxa" w:w="1440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40" w:after="40" w:line="276" w:lineRule="auto"/>
            </w:pPr>
            <w:r>
              <w:rPr>
                <w:rFonts w:ascii="Microsoft YaHei" w:hAnsi="Microsoft YaHei" w:eastAsia="Microsoft YaHei"/>
                <w:color w:val="1E293B"/>
                <w:sz w:val="18"/>
              </w:rPr>
              <w:t>OV-6a</w:t>
            </w:r>
          </w:p>
        </w:tc>
        <w:tc>
          <w:tcPr>
            <w:tcW w:type="dxa" w:w="2016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40" w:after="40" w:line="276" w:lineRule="auto"/>
            </w:pPr>
            <w:r>
              <w:rPr>
                <w:rFonts w:ascii="Microsoft YaHei" w:hAnsi="Microsoft YaHei" w:eastAsia="Microsoft YaHei"/>
                <w:color w:val="1E293B"/>
                <w:sz w:val="18"/>
              </w:rPr>
              <w:t>作战规则库</w:t>
            </w:r>
          </w:p>
        </w:tc>
        <w:tc>
          <w:tcPr>
            <w:tcW w:type="dxa" w:w="1584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40" w:after="40" w:line="276" w:lineRule="auto"/>
            </w:pPr>
            <w:r>
              <w:rPr>
                <w:rFonts w:ascii="Microsoft YaHei" w:hAnsi="Microsoft YaHei" w:eastAsia="Microsoft YaHei"/>
                <w:color w:val="1E293B"/>
                <w:sz w:val="18"/>
              </w:rPr>
              <w:t>阶段 / 任务</w:t>
            </w:r>
          </w:p>
        </w:tc>
        <w:tc>
          <w:tcPr>
            <w:tcW w:type="dxa" w:w="4320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40" w:after="40" w:line="276" w:lineRule="auto"/>
            </w:pPr>
            <w:r>
              <w:rPr>
                <w:rFonts w:ascii="Microsoft YaHei" w:hAnsi="Microsoft YaHei" w:eastAsia="Microsoft YaHei"/>
                <w:color w:val="1E293B"/>
                <w:sz w:val="18"/>
              </w:rPr>
              <w:t>基于规则本体定义作战条令、交战规则（ROE）与进入准则，支持先建规则后绑活动。</w:t>
            </w:r>
          </w:p>
        </w:tc>
      </w:tr>
      <w:tr>
        <w:tc>
          <w:tcPr>
            <w:tcW w:type="dxa" w:w="1440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40" w:after="40" w:line="276" w:lineRule="auto"/>
            </w:pPr>
            <w:r>
              <w:rPr>
                <w:rFonts w:ascii="Microsoft YaHei" w:hAnsi="Microsoft YaHei" w:eastAsia="Microsoft YaHei"/>
                <w:color w:val="1E293B"/>
                <w:sz w:val="18"/>
              </w:rPr>
              <w:t>OV-6b</w:t>
            </w:r>
          </w:p>
        </w:tc>
        <w:tc>
          <w:tcPr>
            <w:tcW w:type="dxa" w:w="2016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40" w:after="40" w:line="276" w:lineRule="auto"/>
            </w:pPr>
            <w:r>
              <w:rPr>
                <w:rFonts w:ascii="Microsoft YaHei" w:hAnsi="Microsoft YaHei" w:eastAsia="Microsoft YaHei"/>
                <w:color w:val="1E293B"/>
                <w:sz w:val="18"/>
              </w:rPr>
              <w:t>状态机校验</w:t>
            </w:r>
          </w:p>
        </w:tc>
        <w:tc>
          <w:tcPr>
            <w:tcW w:type="dxa" w:w="1584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40" w:after="40" w:line="276" w:lineRule="auto"/>
            </w:pPr>
            <w:r>
              <w:rPr>
                <w:rFonts w:ascii="Microsoft YaHei" w:hAnsi="Microsoft YaHei" w:eastAsia="Microsoft YaHei"/>
                <w:color w:val="1E293B"/>
                <w:sz w:val="18"/>
              </w:rPr>
              <w:t>阶段 / 任务</w:t>
            </w:r>
          </w:p>
        </w:tc>
        <w:tc>
          <w:tcPr>
            <w:tcW w:type="dxa" w:w="4320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40" w:after="40" w:line="276" w:lineRule="auto"/>
            </w:pPr>
            <w:r>
              <w:rPr>
                <w:rFonts w:ascii="Microsoft YaHei" w:hAnsi="Microsoft YaHei" w:eastAsia="Microsoft YaHei"/>
                <w:color w:val="1E293B"/>
                <w:sz w:val="18"/>
              </w:rPr>
              <w:t>为核心作战单元建立多状态转移模型，静态检测不可达状态、死锁循环与回改阶段。</w:t>
            </w:r>
          </w:p>
        </w:tc>
      </w:tr>
      <w:tr>
        <w:tc>
          <w:tcPr>
            <w:tcW w:type="dxa" w:w="1440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40" w:after="40" w:line="276" w:lineRule="auto"/>
            </w:pPr>
            <w:r>
              <w:rPr>
                <w:rFonts w:ascii="Microsoft YaHei" w:hAnsi="Microsoft YaHei" w:eastAsia="Microsoft YaHei"/>
                <w:color w:val="1E293B"/>
                <w:sz w:val="18"/>
              </w:rPr>
              <w:t>OV-6c</w:t>
            </w:r>
          </w:p>
        </w:tc>
        <w:tc>
          <w:tcPr>
            <w:tcW w:type="dxa" w:w="2016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40" w:after="40" w:line="276" w:lineRule="auto"/>
            </w:pPr>
            <w:r>
              <w:rPr>
                <w:rFonts w:ascii="Microsoft YaHei" w:hAnsi="Microsoft YaHei" w:eastAsia="Microsoft YaHei"/>
                <w:color w:val="1E293B"/>
                <w:sz w:val="18"/>
              </w:rPr>
              <w:t>跨对象时序图</w:t>
            </w:r>
          </w:p>
        </w:tc>
        <w:tc>
          <w:tcPr>
            <w:tcW w:type="dxa" w:w="1584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40" w:after="40" w:line="276" w:lineRule="auto"/>
            </w:pPr>
            <w:r>
              <w:rPr>
                <w:rFonts w:ascii="Microsoft YaHei" w:hAnsi="Microsoft YaHei" w:eastAsia="Microsoft YaHei"/>
                <w:color w:val="1E293B"/>
                <w:sz w:val="18"/>
              </w:rPr>
              <w:t>阶段 / 兵力</w:t>
            </w:r>
          </w:p>
        </w:tc>
        <w:tc>
          <w:tcPr>
            <w:tcW w:type="dxa" w:w="4320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40" w:after="40" w:line="276" w:lineRule="auto"/>
            </w:pPr>
            <w:r>
              <w:rPr>
                <w:rFonts w:ascii="Microsoft YaHei" w:hAnsi="Microsoft YaHei" w:eastAsia="Microsoft YaHei"/>
                <w:color w:val="1E293B"/>
                <w:sz w:val="18"/>
              </w:rPr>
              <w:t>绘制平台与节点间的交互时序泳道图，自动诊断时序倒流、未排程动作与时延超标。</w:t>
            </w:r>
          </w:p>
        </w:tc>
      </w:tr>
      <w:tr>
        <w:tc>
          <w:tcPr>
            <w:tcW w:type="dxa" w:w="1440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40" w:after="40" w:line="276" w:lineRule="auto"/>
            </w:pPr>
            <w:r>
              <w:rPr>
                <w:rFonts w:ascii="Microsoft YaHei" w:hAnsi="Microsoft YaHei" w:eastAsia="Microsoft YaHei"/>
                <w:color w:val="1E293B"/>
                <w:sz w:val="18"/>
              </w:rPr>
              <w:t>OV-7</w:t>
            </w:r>
          </w:p>
        </w:tc>
        <w:tc>
          <w:tcPr>
            <w:tcW w:type="dxa" w:w="2016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40" w:after="40" w:line="276" w:lineRule="auto"/>
            </w:pPr>
            <w:r>
              <w:rPr>
                <w:rFonts w:ascii="Microsoft YaHei" w:hAnsi="Microsoft YaHei" w:eastAsia="Microsoft YaHei"/>
                <w:color w:val="1E293B"/>
                <w:sz w:val="18"/>
              </w:rPr>
              <w:t>状态活动映射</w:t>
            </w:r>
          </w:p>
        </w:tc>
        <w:tc>
          <w:tcPr>
            <w:tcW w:type="dxa" w:w="1584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40" w:after="40" w:line="276" w:lineRule="auto"/>
            </w:pPr>
            <w:r>
              <w:rPr>
                <w:rFonts w:ascii="Microsoft YaHei" w:hAnsi="Microsoft YaHei" w:eastAsia="Microsoft YaHei"/>
                <w:color w:val="1E293B"/>
                <w:sz w:val="18"/>
              </w:rPr>
              <w:t>跨模型校核</w:t>
            </w:r>
          </w:p>
        </w:tc>
        <w:tc>
          <w:tcPr>
            <w:tcW w:type="dxa" w:w="4320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40" w:after="40" w:line="276" w:lineRule="auto"/>
            </w:pPr>
            <w:r>
              <w:rPr>
                <w:rFonts w:ascii="Microsoft YaHei" w:hAnsi="Microsoft YaHei" w:eastAsia="Microsoft YaHei"/>
                <w:color w:val="1E293B"/>
                <w:sz w:val="18"/>
              </w:rPr>
              <w:t>校验状态转移事件是否由明确的 OV-5b 作战活动触发，保证状态迁移具有物理语义。</w:t>
            </w:r>
          </w:p>
        </w:tc>
      </w:tr>
      <w:tr>
        <w:tc>
          <w:tcPr>
            <w:tcW w:type="dxa" w:w="1440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40" w:after="40" w:line="276" w:lineRule="auto"/>
            </w:pPr>
            <w:r>
              <w:rPr>
                <w:rFonts w:ascii="Microsoft YaHei" w:hAnsi="Microsoft YaHei" w:eastAsia="Microsoft YaHei"/>
                <w:color w:val="1E293B"/>
                <w:sz w:val="18"/>
              </w:rPr>
              <w:t>OODA</w:t>
            </w:r>
          </w:p>
        </w:tc>
        <w:tc>
          <w:tcPr>
            <w:tcW w:type="dxa" w:w="2016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40" w:after="40" w:line="276" w:lineRule="auto"/>
            </w:pPr>
            <w:r>
              <w:rPr>
                <w:rFonts w:ascii="Microsoft YaHei" w:hAnsi="Microsoft YaHei" w:eastAsia="Microsoft YaHei"/>
                <w:color w:val="1E293B"/>
                <w:sz w:val="18"/>
              </w:rPr>
              <w:t>行为综合视角</w:t>
            </w:r>
          </w:p>
        </w:tc>
        <w:tc>
          <w:tcPr>
            <w:tcW w:type="dxa" w:w="1584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40" w:after="40" w:line="276" w:lineRule="auto"/>
            </w:pPr>
            <w:r>
              <w:rPr>
                <w:rFonts w:ascii="Microsoft YaHei" w:hAnsi="Microsoft YaHei" w:eastAsia="Microsoft YaHei"/>
                <w:color w:val="1E293B"/>
                <w:sz w:val="18"/>
              </w:rPr>
              <w:t>总体图</w:t>
            </w:r>
          </w:p>
        </w:tc>
        <w:tc>
          <w:tcPr>
            <w:tcW w:type="dxa" w:w="4320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40" w:after="40" w:line="276" w:lineRule="auto"/>
            </w:pPr>
            <w:r>
              <w:rPr>
                <w:rFonts w:ascii="Microsoft YaHei" w:hAnsi="Microsoft YaHei" w:eastAsia="Microsoft YaHei"/>
                <w:color w:val="1E293B"/>
                <w:sz w:val="18"/>
              </w:rPr>
              <w:t>按 Observe-Orient-Decide-Act 循环梳理关键闭环链路，诊断单点故障与耗时瓶颈。</w:t>
            </w:r>
          </w:p>
        </w:tc>
      </w:tr>
    </w:tbl>
    <w:p>
      <w:pPr>
        <w:keepNext/>
        <w:spacing w:before="360" w:after="120"/>
      </w:pPr>
      <w:r>
        <w:rPr>
          <w:rFonts w:ascii="Microsoft YaHei" w:hAnsi="Microsoft YaHei" w:eastAsia="Microsoft YaHei"/>
          <w:b/>
          <w:color w:val="1F4E79"/>
          <w:sz w:val="32"/>
        </w:rPr>
        <w:t>四、专业支撑模块与核心特性</w:t>
      </w:r>
    </w:p>
    <w:p>
      <w:pPr>
        <w:keepNext/>
        <w:spacing w:before="240" w:after="80"/>
      </w:pPr>
      <w:r>
        <w:rPr>
          <w:rFonts w:ascii="Microsoft YaHei" w:hAnsi="Microsoft YaHei" w:eastAsia="Microsoft YaHei"/>
          <w:b/>
          <w:color w:val="2B6CB0"/>
          <w:sz w:val="26"/>
        </w:rPr>
        <w:t>4.1 Obsidian (Obs) 知识库深度集成</w:t>
      </w:r>
    </w:p>
    <w:p>
      <w:r>
        <w:t>工作台视知识资产为作战概念创新的第一动力，全面打通与用户本地知识库的交互：</w:t>
      </w:r>
    </w:p>
    <w:p>
      <w:r>
        <w:t>• 本地 Markdown/YAML 原生解析：自动解析 Vault 中的笔记标题、标签、双向链接（WikiLinks）、正文片段以及表格中的装备/编制参数。</w:t>
        <w:br/>
        <w:t>• 混合检索（Hybrid Search）：提供关键词匹配（Keyword）、语义向量（Vector）以及两者的加权混合检索（Hybrid），精准命中历史战例与条令。</w:t>
        <w:br/>
        <w:t>• 敏感片段安全过滤机制：严格执行敏感性分级，敏感 Vault 内容在 AI 请求、模型快照、报告导出与归档中自动脱敏排除，仅保留研究级引用标识。</w:t>
        <w:br/>
        <w:t>• 双向闭环写回：支持将已确认的简报、活动清单、OODA 节点及成果报告反向写入 Obsidian Vault 指定子目录，建立回链索引。</w:t>
      </w:r>
    </w:p>
    <w:p>
      <w:pPr>
        <w:keepNext/>
        <w:spacing w:before="240" w:after="80"/>
      </w:pPr>
      <w:r>
        <w:rPr>
          <w:rFonts w:ascii="Microsoft YaHei" w:hAnsi="Microsoft YaHei" w:eastAsia="Microsoft YaHei"/>
          <w:b/>
          <w:color w:val="2B6CB0"/>
          <w:sz w:val="26"/>
        </w:rPr>
        <w:t>4.2 AI 设计验证与红方对抗引擎</w:t>
      </w:r>
    </w:p>
    <w:p>
      <w:r>
        <w:t>在概念设计阶段提前暴露体系脆弱点，降低推演阶段的返工成本：</w:t>
      </w:r>
    </w:p>
    <w:p>
      <w:r>
        <w:t>• 规则静态一致性校验：自动检查 OV-5 输入输出闭环、资源消耗超额、时钟窗口越界、状态机循环卡死、未配对接口等 10 余项结构问题。</w:t>
        <w:br/>
        <w:t>• AI 专家红方对抗推演：大模型切换为红方对手指挥官视角，结合条令与历史战例发起对抗性质疑，指出方案中最易被压制/切断的关键节点，并提供蓝方强化对策建议。</w:t>
        <w:br/>
        <w:t>• 结构核对台（Structure Review）：全局诊断仪表盘，统一展示规划覆盖率、未绑定实体、过期失效状态与断链警告，支持一键定位溯源回改。</w:t>
      </w:r>
    </w:p>
    <w:p>
      <w:pPr>
        <w:keepNext/>
        <w:spacing w:before="240" w:after="80"/>
      </w:pPr>
      <w:r>
        <w:rPr>
          <w:rFonts w:ascii="Microsoft YaHei" w:hAnsi="Microsoft YaHei" w:eastAsia="Microsoft YaHei"/>
          <w:b/>
          <w:color w:val="2B6CB0"/>
          <w:sz w:val="26"/>
        </w:rPr>
        <w:t>4.3 成果报告与全格式导出</w:t>
      </w:r>
    </w:p>
    <w:p>
      <w:r>
        <w:t>支持全流程成果固化与多样化交付格式：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1D5DB"/>
          <w:bottom w:val="single" w:sz="4" w:space="0" w:color="D1D5DB"/>
          <w:insideH w:val="single" w:sz="4" w:space="0" w:color="D1D5DB"/>
          <w:insideV w:val="none"/>
          <w:left w:val="none"/>
          <w:right w:val="none"/>
        </w:tblBorders>
      </w:tblPr>
      <w:tblGrid>
        <w:gridCol w:w="3120"/>
        <w:gridCol w:w="3120"/>
        <w:gridCol w:w="3120"/>
      </w:tblGrid>
      <w:tr>
        <w:tc>
          <w:tcPr>
            <w:tcW w:type="dxa" w:w="2160"/>
            <w:shd w:fill="1F4E79"/>
            <w:tcMar>
              <w:top w:w="140" w:type="dxa"/>
              <w:bottom w:w="140" w:type="dxa"/>
              <w:left w:w="140" w:type="dxa"/>
              <w:right w:w="14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类别</w:t>
            </w:r>
          </w:p>
        </w:tc>
        <w:tc>
          <w:tcPr>
            <w:tcW w:type="dxa" w:w="3600"/>
            <w:shd w:fill="1F4E79"/>
            <w:tcMar>
              <w:top w:w="140" w:type="dxa"/>
              <w:bottom w:w="140" w:type="dxa"/>
              <w:left w:w="140" w:type="dxa"/>
              <w:right w:w="14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支持格式</w:t>
            </w:r>
          </w:p>
        </w:tc>
        <w:tc>
          <w:tcPr>
            <w:tcW w:type="dxa" w:w="3600"/>
            <w:shd w:fill="1F4E79"/>
            <w:tcMar>
              <w:top w:w="140" w:type="dxa"/>
              <w:bottom w:w="140" w:type="dxa"/>
              <w:left w:w="140" w:type="dxa"/>
              <w:right w:w="14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应用场景与价值</w:t>
            </w:r>
          </w:p>
        </w:tc>
      </w:tr>
      <w:tr>
        <w:tc>
          <w:tcPr>
            <w:tcW w:type="dxa" w:w="2160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40" w:after="40" w:line="276" w:lineRule="auto"/>
            </w:pPr>
            <w:r>
              <w:rPr>
                <w:rFonts w:ascii="Microsoft YaHei" w:hAnsi="Microsoft YaHei" w:eastAsia="Microsoft YaHei"/>
                <w:color w:val="1E293B"/>
                <w:sz w:val="18"/>
              </w:rPr>
              <w:t>办公交付格式</w:t>
            </w:r>
          </w:p>
        </w:tc>
        <w:tc>
          <w:tcPr>
            <w:tcW w:type="dxa" w:w="3600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40" w:after="40" w:line="276" w:lineRule="auto"/>
            </w:pPr>
            <w:r>
              <w:rPr>
                <w:rFonts w:ascii="Microsoft YaHei" w:hAnsi="Microsoft YaHei" w:eastAsia="Microsoft YaHei"/>
                <w:color w:val="1E293B"/>
                <w:sz w:val="18"/>
              </w:rPr>
              <w:t>Word (.docx) / PDF / PPTX 汇报演示文稿 / RTF 富文本</w:t>
            </w:r>
          </w:p>
        </w:tc>
        <w:tc>
          <w:tcPr>
            <w:tcW w:type="dxa" w:w="3600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40" w:after="40" w:line="276" w:lineRule="auto"/>
            </w:pPr>
            <w:r>
              <w:rPr>
                <w:rFonts w:ascii="Microsoft YaHei" w:hAnsi="Microsoft YaHei" w:eastAsia="Microsoft YaHei"/>
                <w:color w:val="1E293B"/>
                <w:sz w:val="18"/>
              </w:rPr>
              <w:t>用于向专家组提交立项简报、研究论证报告及评审汇报</w:t>
            </w:r>
          </w:p>
        </w:tc>
      </w:tr>
      <w:tr>
        <w:tc>
          <w:tcPr>
            <w:tcW w:type="dxa" w:w="2160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40" w:after="40" w:line="276" w:lineRule="auto"/>
            </w:pPr>
            <w:r>
              <w:rPr>
                <w:rFonts w:ascii="Microsoft YaHei" w:hAnsi="Microsoft YaHei" w:eastAsia="Microsoft YaHei"/>
                <w:color w:val="1E293B"/>
                <w:sz w:val="18"/>
              </w:rPr>
              <w:t>技术与交换格式</w:t>
            </w:r>
          </w:p>
        </w:tc>
        <w:tc>
          <w:tcPr>
            <w:tcW w:type="dxa" w:w="3600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40" w:after="40" w:line="276" w:lineRule="auto"/>
            </w:pPr>
            <w:r>
              <w:rPr>
                <w:rFonts w:ascii="Microsoft YaHei" w:hAnsi="Microsoft YaHei" w:eastAsia="Microsoft YaHei"/>
                <w:color w:val="1E293B"/>
                <w:sz w:val="18"/>
              </w:rPr>
              <w:t>JSON / XML (标准 DoDAF 交换) / Markdown 文档</w:t>
            </w:r>
          </w:p>
        </w:tc>
        <w:tc>
          <w:tcPr>
            <w:tcW w:type="dxa" w:w="3600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40" w:after="40" w:line="276" w:lineRule="auto"/>
            </w:pPr>
            <w:r>
              <w:rPr>
                <w:rFonts w:ascii="Microsoft YaHei" w:hAnsi="Microsoft YaHei" w:eastAsia="Microsoft YaHei"/>
                <w:color w:val="1E293B"/>
                <w:sz w:val="18"/>
              </w:rPr>
              <w:t>用于跨系统模型同步、内网版本库归档与文档知识库沉淀</w:t>
            </w:r>
          </w:p>
        </w:tc>
      </w:tr>
      <w:tr>
        <w:tc>
          <w:tcPr>
            <w:tcW w:type="dxa" w:w="2160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40" w:after="40" w:line="276" w:lineRule="auto"/>
            </w:pPr>
            <w:r>
              <w:rPr>
                <w:rFonts w:ascii="Microsoft YaHei" w:hAnsi="Microsoft YaHei" w:eastAsia="Microsoft YaHei"/>
                <w:color w:val="1E293B"/>
                <w:sz w:val="18"/>
              </w:rPr>
              <w:t>态势标绘与空间数据</w:t>
            </w:r>
          </w:p>
        </w:tc>
        <w:tc>
          <w:tcPr>
            <w:tcW w:type="dxa" w:w="3600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40" w:after="40" w:line="276" w:lineRule="auto"/>
            </w:pPr>
            <w:r>
              <w:rPr>
                <w:rFonts w:ascii="Microsoft YaHei" w:hAnsi="Microsoft YaHei" w:eastAsia="Microsoft YaHei"/>
                <w:color w:val="1E293B"/>
                <w:sz w:val="18"/>
              </w:rPr>
              <w:t>GeoJSON 空间图层 / mapInput 标准数据包</w:t>
            </w:r>
          </w:p>
        </w:tc>
        <w:tc>
          <w:tcPr>
            <w:tcW w:type="dxa" w:w="3600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40" w:after="40" w:line="276" w:lineRule="auto"/>
            </w:pPr>
            <w:r>
              <w:rPr>
                <w:rFonts w:ascii="Microsoft YaHei" w:hAnsi="Microsoft YaHei" w:eastAsia="Microsoft YaHei"/>
                <w:color w:val="1E293B"/>
                <w:sz w:val="18"/>
              </w:rPr>
              <w:t>无缝对接外部地图标绘工具与数字化态势推演大屏</w:t>
            </w:r>
          </w:p>
        </w:tc>
      </w:tr>
      <w:tr>
        <w:tc>
          <w:tcPr>
            <w:tcW w:type="dxa" w:w="2160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40" w:after="40" w:line="276" w:lineRule="auto"/>
            </w:pPr>
            <w:r>
              <w:rPr>
                <w:rFonts w:ascii="Microsoft YaHei" w:hAnsi="Microsoft YaHei" w:eastAsia="Microsoft YaHei"/>
                <w:color w:val="1E293B"/>
                <w:sz w:val="18"/>
              </w:rPr>
              <w:t>防篡改完整性清单</w:t>
            </w:r>
          </w:p>
        </w:tc>
        <w:tc>
          <w:tcPr>
            <w:tcW w:type="dxa" w:w="3600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40" w:after="40" w:line="276" w:lineRule="auto"/>
            </w:pPr>
            <w:r>
              <w:rPr>
                <w:rFonts w:ascii="Microsoft YaHei" w:hAnsi="Microsoft YaHei" w:eastAsia="Microsoft YaHei"/>
                <w:color w:val="1E293B"/>
                <w:sz w:val="18"/>
              </w:rPr>
              <w:t>SHA-256 哈希清单校验</w:t>
            </w:r>
          </w:p>
        </w:tc>
        <w:tc>
          <w:tcPr>
            <w:tcW w:type="dxa" w:w="3600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40" w:after="40" w:line="276" w:lineRule="auto"/>
            </w:pPr>
            <w:r>
              <w:rPr>
                <w:rFonts w:ascii="Microsoft YaHei" w:hAnsi="Microsoft YaHei" w:eastAsia="Microsoft YaHei"/>
                <w:color w:val="1E293B"/>
                <w:sz w:val="18"/>
              </w:rPr>
              <w:t>导出文件随附哈希指纹，防止跨网传输或长周期流转中篡改</w:t>
            </w:r>
          </w:p>
        </w:tc>
      </w:tr>
    </w:tbl>
    <w:p>
      <w:pPr>
        <w:keepNext/>
        <w:spacing w:before="240" w:after="80"/>
      </w:pPr>
      <w:r>
        <w:rPr>
          <w:rFonts w:ascii="Microsoft YaHei" w:hAnsi="Microsoft YaHei" w:eastAsia="Microsoft YaHei"/>
          <w:b/>
          <w:color w:val="2B6CB0"/>
          <w:sz w:val="26"/>
        </w:rPr>
        <w:t>4.4 内网协同审阅与版本治理</w:t>
      </w:r>
    </w:p>
    <w:p>
      <w:r>
        <w:t>• 协同身份体系：支持多角色本地/内网账号登录与身份切换，留存明确的操作审计轨迹。</w:t>
        <w:br/>
        <w:t>• 审阅意见与决策批注：支持按阶段提出审查批注、驳回或通过决策，并可附带至多 12 条知识依据。</w:t>
        <w:br/>
        <w:t>• 乐观并发与冲突预防：基于版本修订号进行冲突检测，发现远端更新时提供对比告警，防止团队覆盖彼此修改。</w:t>
        <w:br/>
        <w:t>• 多方案快照量化比较：支持保存不同演进分支快照，基于任务达成、风险、时序、资源等 8 项透明准则进行加权比较与敏感性分析。</w:t>
      </w:r>
    </w:p>
    <w:p>
      <w:pPr>
        <w:keepNext/>
        <w:spacing w:before="240" w:after="80"/>
      </w:pPr>
      <w:r>
        <w:rPr>
          <w:rFonts w:ascii="Microsoft YaHei" w:hAnsi="Microsoft YaHei" w:eastAsia="Microsoft YaHei"/>
          <w:b/>
          <w:color w:val="2B6CB0"/>
          <w:sz w:val="26"/>
        </w:rPr>
        <w:t>4.5 AI 提示词与安全配置中心</w:t>
      </w:r>
    </w:p>
    <w:p>
      <w:r>
        <w:t>• 集中式提示词目录：系统所有发送给大模型的 Prompt（包括灵感追问、聚焦提炼、阶段生成、兵力推荐、红方对抗等）全部纳入顶部菜单“AI 提示词”统一目录。</w:t>
        <w:br/>
        <w:t>• 透明化配置与实时生效：分配稳定 ID、动态变量说明与用途阐述，研究员可在线定制修改并即刻应用于 AI 生成请求，杜绝黑盒代码。</w:t>
        <w:br/>
        <w:t>• 密钥环境安全隔离：大模型 API Key 仅在安全进程环境中以环境变量加载，禁止写入任何代码、配置文件、数据库或导出报告中。</w:t>
      </w:r>
    </w:p>
    <w:p>
      <w:pPr>
        <w:keepNext/>
        <w:spacing w:before="360" w:after="120"/>
      </w:pPr>
      <w:r>
        <w:rPr>
          <w:rFonts w:ascii="Microsoft YaHei" w:hAnsi="Microsoft YaHei" w:eastAsia="Microsoft YaHei"/>
          <w:b/>
          <w:color w:val="1F4E79"/>
          <w:sz w:val="32"/>
        </w:rPr>
        <w:t>五、部署使用与操作指南</w:t>
      </w:r>
    </w:p>
    <w:p>
      <w:pPr>
        <w:keepNext/>
        <w:spacing w:before="240" w:after="80"/>
      </w:pPr>
      <w:r>
        <w:rPr>
          <w:rFonts w:ascii="Microsoft YaHei" w:hAnsi="Microsoft YaHei" w:eastAsia="Microsoft YaHei"/>
          <w:b/>
          <w:color w:val="2B6CB0"/>
          <w:sz w:val="26"/>
        </w:rPr>
        <w:t>5.1 环境要求与一键启动</w:t>
      </w:r>
    </w:p>
    <w:p>
      <w:r>
        <w:t>系统优化为零配置快速部署：</w:t>
      </w:r>
    </w:p>
    <w:p>
      <w:r>
        <w:t>1. 环境依赖：Windows 10/11 或 Linux，安装 Node.js (推荐 v22.5+ 或 v24+，支持内置 SQLite) 及 Python 3.10+。</w:t>
        <w:br/>
        <w:t>2. 一键启动：在根目录下直接双击运行 start.bat（或在终端执行 .\start.ps1 / ./start.sh）。脚本将自动检测环境、端口占用，拉起工作台（8792）及外部标绘工具（8765），并自动在浏览器中打开主界面。</w:t>
        <w:br/>
        <w:t>3. 安全停止：双击 stop.bat 或执行 .\stop.ps1 安全释放端口。</w:t>
      </w:r>
    </w:p>
    <w:p>
      <w:pPr>
        <w:keepNext/>
        <w:spacing w:before="240" w:after="80"/>
      </w:pPr>
      <w:r>
        <w:rPr>
          <w:rFonts w:ascii="Microsoft YaHei" w:hAnsi="Microsoft YaHei" w:eastAsia="Microsoft YaHei"/>
          <w:b/>
          <w:color w:val="2B6CB0"/>
          <w:sz w:val="26"/>
        </w:rPr>
        <w:t>5.2 双模式操作体验</w:t>
      </w:r>
    </w:p>
    <w:p>
      <w:r>
        <w:t>界面顶部操作栏提供模式切换：</w:t>
      </w:r>
    </w:p>
    <w:p>
      <w:r>
        <w:t>• 正式解锁模式（推荐）：严格按照“简报 -&gt; 阶段行动 -&gt; 作战任务 -&gt; 作战兵力 -&gt; 总体图 -&gt; 概念图 -&gt; 仿真演示”的门禁顺序递进。每步确认后自动驱动下一步初始数据的 AI 种子化生成，确保研究逻辑闭环。</w:t>
        <w:br/>
        <w:t>• 自由测试模式：解除左侧流程轨道的阶段锁定，允许研究人员在 7 个主步骤与 11 个关联模型之间自由跳转与逐项试用，不强制校验准出门禁。</w:t>
      </w:r>
    </w:p>
    <w:p>
      <w:pPr>
        <w:keepNext/>
        <w:spacing w:before="240" w:after="80"/>
      </w:pPr>
      <w:r>
        <w:rPr>
          <w:rFonts w:ascii="Microsoft YaHei" w:hAnsi="Microsoft YaHei" w:eastAsia="Microsoft YaHei"/>
          <w:b/>
          <w:color w:val="2B6CB0"/>
          <w:sz w:val="26"/>
        </w:rPr>
        <w:t>5.3 典型研究工作闭环示范（15分钟快速指引）</w:t>
      </w:r>
    </w:p>
    <w:p>
      <w:r>
        <w:t>1. 开启灵感：进入【简报】，在左侧灵感输入框输入初始构想（例如“无人艇集群夜间联合防空压制”），与 AI 展开 2~3 轮对话，挑选合适的方向卡片，确认六要素简报。</w:t>
        <w:br/>
        <w:t>2. 生成阶段：点击【阶段行动】，AI 自动生成 3 个作战聚焦，确认后自动生成 3~5 个时序作战阶段与红蓝双方行动，人工微调后确认。</w:t>
        <w:br/>
        <w:t>3. 细化任务与兵力：系统自动进入【作战任务】生成任务列表；确认后进入【作战兵力】，匹配 CMO 推荐平台并绑定承接关系。</w:t>
        <w:br/>
        <w:t>4. 闭环总体图：进入【总体图】，检查红蓝节点与信息/控制/打击/反馈四类流向，确认拓扑闭环。</w:t>
        <w:br/>
        <w:t>5. 态势标绘与推演：进入【概念图】完成空间相对标绘，在【仿真演示】中运行设计验证，审查红方反制意见。</w:t>
        <w:br/>
        <w:t>6. 输出成果：点击顶部【成果报告】或导出菜单，一键导出完整 Word/PDF 研究报告或 PPT 汇报文稿。</w:t>
      </w:r>
    </w:p>
    <w:p>
      <w:pPr>
        <w:keepNext/>
        <w:spacing w:before="360" w:after="120"/>
      </w:pPr>
      <w:r>
        <w:rPr>
          <w:rFonts w:ascii="Microsoft YaHei" w:hAnsi="Microsoft YaHei" w:eastAsia="Microsoft YaHei"/>
          <w:b/>
          <w:color w:val="1F4E79"/>
          <w:sz w:val="32"/>
        </w:rPr>
        <w:t>六、总结与展望</w:t>
      </w:r>
    </w:p>
    <w:p>
      <w:r>
        <w:t>作战概念研究工作台通过将生成式人工智能、体系架构方法学（DoDAF 2.02）与知识图谱深度融合，成功搭建了从前沿战术灵感到工程化作战想定的数字桥梁。平台坚持“AI 为辅助、专家为主导”的人机协同理念，实现了全链路可追溯、跨视图可验证、数据资产可继承的现代化作战概念论证新范式。</w:t>
      </w:r>
    </w:p>
    <w:p>
      <w:r>
        <w:t>未来，工作台将进一步深化与重型分布式兵棋推演系统的标准接口对接，扩展多方案自动化博弈评估与智能敏感性归因分析能力，为国防科研与作战概念创新提供更为强劲的技术支撑。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00" w:lineRule="auto" w:after="120"/>
    </w:pPr>
    <w:rPr>
      <w:rFonts w:ascii="Microsoft YaHei" w:hAnsi="Microsoft YaHei" w:eastAsia="Microsoft YaHei"/>
      <w:color w:val="333333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