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DB680">
      <w:pPr>
        <w:pStyle w:val="4"/>
        <w:widowControl/>
        <w:spacing w:line="288" w:lineRule="auto"/>
        <w:ind w:firstLine="0" w:left="0" w:right="0"/>
        <w:jc w:val="center"/>
        <w:rPr>
          <w:rFonts w:hint="default" w:eastAsia="方正小标宋_GBK"/>
          <w:lang w:val="en-US" w:eastAsia="zh-CN"/>
        </w:rPr>
      </w:pPr>
      <w:r>
        <w:rPr>
          <w:rFonts w:ascii="宋体" w:hAnsi="宋体" w:eastAsia="宋体"/>
          <w:b/>
          <w:color w:val="000000"/>
          <w:sz w:val="44"/>
        </w:rPr>
        <w:t>新型电力系统下电能量预测算法开发赛道</w:t>
      </w:r>
      <w:r>
        <w:rPr>
          <w:rFonts w:ascii="宋体" w:hAnsi="宋体" w:eastAsia="宋体"/>
          <w:b/>
          <w:color w:val="000000"/>
          <w:sz w:val="44"/>
        </w:rPr>
        <w:br w:type="textWrapping"/>
      </w:r>
      <w:r>
        <w:rPr>
          <w:rFonts w:ascii="宋体" w:hAnsi="宋体" w:eastAsia="宋体"/>
          <w:b/>
          <w:color w:val="000000"/>
          <w:sz w:val="44"/>
        </w:rPr>
        <w:t>初赛技术报告</w:t>
      </w:r>
    </w:p>
    <w:p w14:paraId="2E07241D">
      <w:pPr>
        <w:widowControl/>
        <w:spacing w:line="288" w:lineRule="auto"/>
        <w:ind w:firstLine="0" w:left="0" w:right="0"/>
        <w:jc w:val="center"/>
      </w:pPr>
      <w:r>
        <w:rPr>
          <w:rFonts w:ascii="宋体" w:hAnsi="宋体" w:eastAsia="宋体"/>
          <w:b w:val="0"/>
          <w:color w:val="000000"/>
          <w:sz w:val="32"/>
        </w:rPr>
        <w:t>地市用电量预测</w:t>
      </w:r>
    </w:p>
    <w:p w14:paraId="7C53A293">
      <w:pPr>
        <w:pStyle w:val="2"/>
        <w:keepNext/>
        <w:widowControl/>
        <w:spacing w:before="280" w:after="160" w:line="288" w:lineRule="auto"/>
        <w:ind w:firstLine="0" w:left="0" w:right="0"/>
        <w:rPr>
          <w:rFonts w:hint="default" w:eastAsia="黑体"/>
          <w:lang w:val="en-US" w:eastAsia="zh-CN"/>
        </w:rPr>
      </w:pPr>
      <w:bookmarkStart w:id="0" w:name="一总体情况"/>
      <w:r>
        <w:rPr>
          <w:rFonts w:hint="eastAsia" w:ascii="宋体" w:hAnsi="宋体" w:eastAsia="宋体"/>
          <w:b/>
          <w:color w:val="000000"/>
          <w:sz w:val="32"/>
        </w:rPr>
        <w:t>一、</w:t>
      </w: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方案概述</w:t>
      </w:r>
    </w:p>
    <w:p w14:paraId="54E146C2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本方案面向10个地市的日用电量预测，使用2023年1月1日至2026年1月31日的历史电量及气象观测，结合未来气象预报，预测2026年2月1日至28日的全社会用电总量，共形成280条结果。地市任务按全月和春节假期分别评分，权重为20分和5分；春节专项窗口为2月15日至23日。［1］</w:t>
      </w:r>
    </w:p>
    <w:p w14:paraId="132AB5CF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预测难点在于春节日期移动、假期停复工与温度变化共同作用。方案采用多年度春节模板与逐地市多步Ridge回归融合：模板分支分离用电规模、春节形态和温度影响，回归分支补充日历、近期电量及跨城市信息。技术路线为历史数据对齐、行业温度响应估计、春节模式迁移、未来温度修正及加权输出。</w:t>
      </w:r>
    </w:p>
    <w:p w14:paraId="150E2A44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本报告介绍温度修正春节模板与逐地市多步Ridge回归融合方案，覆盖地市用电量预测任务。相较于官方Prophet基线，本方案加强春节形态迁移、行业分解及节后恢复阶段对齐。算法实现见city_pipeline.py。［2，3］</w:t>
      </w:r>
    </w:p>
    <w:bookmarkEnd w:id="0"/>
    <w:p w14:paraId="782EA360">
      <w:pPr>
        <w:pStyle w:val="2"/>
        <w:keepNext/>
        <w:widowControl/>
        <w:spacing w:before="280" w:after="160" w:line="288" w:lineRule="auto"/>
        <w:ind w:firstLine="0" w:left="0" w:right="0"/>
        <w:rPr>
          <w:rFonts w:hint="default" w:eastAsia="黑体"/>
          <w:lang w:val="en-US" w:eastAsia="zh-CN"/>
        </w:rPr>
      </w:pPr>
      <w:bookmarkStart w:id="1" w:name="二评审方式"/>
      <w:r>
        <w:rPr>
          <w:rFonts w:hint="eastAsia" w:ascii="宋体" w:hAnsi="宋体" w:eastAsia="宋体"/>
          <w:b/>
          <w:color w:val="000000"/>
          <w:sz w:val="32"/>
        </w:rPr>
        <w:t>二、</w:t>
      </w: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技术方案</w:t>
      </w:r>
    </w:p>
    <w:p w14:paraId="749AC761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模型由Ridge直接预测与温度修正春节模板两条分支组成，总体结构见图1，核心实现片段见附录。</w:t>
      </w:r>
    </w:p>
    <w:p w14:paraId="1DFB24CE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（一）数据处理</w:t>
      </w:r>
    </w:p>
    <w:p w14:paraId="35061A50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电量处理。按城市和日期读取行业1、3、4、5、6、9、10，构建总量及六分项矩阵。六分项为第一、第二、第三产业、城乡居民生活、趸售（行业9）及其他、无行业分类，其和构成全社会用电总计。校验城市、日期、缺失值及电量的有限性和非负性。［4］</w:t>
      </w:r>
    </w:p>
    <w:p w14:paraId="6FEAC744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历史气象处理。将气象字段转为数值，替换缺测标识9999。按城市和日期提取最高温、最低温、平均温度、平均湿度及降水求和特征，填充缺失值；降水按观测记录求和。</w:t>
      </w:r>
    </w:p>
    <w:p w14:paraId="6B5F30C7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预报对齐。前7天按起报时间加预报时效确定有效日期并聚合；第8至15天、第16至28天将温度宽表转为日记录。中长期平均温度取最高温与最低温的均值，湿度和降水缺项用本城市历史同月均值补充。按10城市×28日期建立完整索引并检查缺失。</w:t>
      </w:r>
    </w:p>
    <w:p w14:paraId="15CAE4E3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（二）逐地市多步Ridge回归</w:t>
      </w:r>
    </w:p>
    <w:p w14:paraId="1C4BCA4A">
      <w:pPr>
        <w:pStyle w:val="Caption"/>
        <w:keepNext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  <w:szCs w:val="24"/>
        </w:rPr>
        <w:t>表1  回归特征组成</w:t>
      </w:r>
    </w:p>
    <w:tbl>
      <w:tblPr>
        <w:tblStyle w:val="5"/>
        <w:tblW w:w="8640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20"/>
        <w:gridCol w:w="840"/>
        <w:gridCol w:w="5580"/>
      </w:tblGrid>
      <w:tr w14:paraId="643652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22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CE6CAAD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特征组</w:t>
            </w:r>
          </w:p>
        </w:tc>
        <w:tc>
          <w:tcPr>
            <w:tcW w:w="84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2FAAC2B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维数</w:t>
            </w:r>
          </w:p>
        </w:tc>
        <w:tc>
          <w:tcPr>
            <w:tcW w:w="558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6327D7B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主要变量</w:t>
            </w:r>
          </w:p>
        </w:tc>
      </w:tr>
      <w:tr w14:paraId="406853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F50886D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日历</w:t>
            </w:r>
          </w:p>
        </w:tc>
        <w:tc>
          <w:tcPr>
            <w:tcW w:w="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6E86A4F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70</w:t>
            </w:r>
          </w:p>
        </w:tc>
        <w:tc>
          <w:tcPr>
            <w:tcW w:w="55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CA3ED35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星期及年周期编码、节假日、调休、节日距离</w:t>
            </w:r>
          </w:p>
        </w:tc>
      </w:tr>
      <w:tr w14:paraId="4F840D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7E4DA60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基础与持续气象</w:t>
            </w:r>
          </w:p>
        </w:tc>
        <w:tc>
          <w:tcPr>
            <w:tcW w:w="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C4F7401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26</w:t>
            </w:r>
          </w:p>
        </w:tc>
        <w:tc>
          <w:tcPr>
            <w:tcW w:w="55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E1029CC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温湿度、温差、降水、冷暖阈值及累积效应</w:t>
            </w:r>
          </w:p>
        </w:tc>
      </w:tr>
      <w:tr w14:paraId="583BFD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1957A8E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历史电量</w:t>
            </w:r>
          </w:p>
        </w:tc>
        <w:tc>
          <w:tcPr>
            <w:tcW w:w="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8B0C1DE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31</w:t>
            </w:r>
          </w:p>
        </w:tc>
        <w:tc>
          <w:tcPr>
            <w:tcW w:w="55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F8971A5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1至364天多阶滞后、滚动统计、同比和环比类变量</w:t>
            </w:r>
          </w:p>
        </w:tc>
      </w:tr>
      <w:tr w14:paraId="2D3DED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6186C69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温湿指数与交互</w:t>
            </w:r>
          </w:p>
        </w:tc>
        <w:tc>
          <w:tcPr>
            <w:tcW w:w="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130BC05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14</w:t>
            </w:r>
          </w:p>
        </w:tc>
        <w:tc>
          <w:tcPr>
            <w:tcW w:w="55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80F3FE8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温湿综合指标，天气与周末、节假日交互</w:t>
            </w:r>
          </w:p>
        </w:tc>
      </w:tr>
      <w:tr w14:paraId="78F376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7E256A8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跨城市及步长</w:t>
            </w:r>
          </w:p>
        </w:tc>
        <w:tc>
          <w:tcPr>
            <w:tcW w:w="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34700DE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5</w:t>
            </w:r>
          </w:p>
        </w:tc>
        <w:tc>
          <w:tcPr>
            <w:tcW w:w="55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8EE997C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同省其他城市与其余城市历史均值，0至27步长</w:t>
            </w:r>
          </w:p>
        </w:tc>
      </w:tr>
      <w:tr w14:paraId="65030B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054F8D2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合计</w:t>
            </w:r>
          </w:p>
        </w:tc>
        <w:tc>
          <w:tcPr>
            <w:tcW w:w="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4E3E91A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146</w:t>
            </w:r>
          </w:p>
        </w:tc>
        <w:tc>
          <w:tcPr>
            <w:tcW w:w="55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ADA2BDA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固定顺序保存，并在推理时校验</w:t>
            </w:r>
          </w:p>
        </w:tc>
      </w:tr>
    </w:tbl>
    <w:p w14:paraId="7EDAD24E">
      <w:pPr>
        <w:widowControl/>
        <w:spacing w:before="12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每个城市独立训练一个岭回归模型，将历史预测起点与未来28个步长组成监督样本。同一起点使用此前400天的真实电量构造滞后和滚动特征，目标日期提供日历、气象及步长变量。在本次正式训练的连续日期网格下，每城市设置700个预测起点，形成19600条训练样本；不同起点的历史窗口存在重叠。</w:t>
      </w:r>
    </w:p>
    <w:p w14:paraId="4272C64E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输入按训练样本均值和标准差归一化，目标取电量的常用对数，正则强度为30。预测还原时，乘以训练残差指数的均值，修正对数变换后的尺度偏差。推理阶段采用直接多步预测，历史电量特征保持固定，预测值不回灌历史队列。</w:t>
      </w:r>
    </w:p>
    <w:p w14:paraId="6D4ACF35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（三）行业温度响应与天气归一化</w:t>
      </w:r>
    </w:p>
    <w:p w14:paraId="2B3D9DEA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总量及六个分项分别估计温度响应，以保留行业差异。先构造有效温度，描述近期冷暖天气的延续影响：</w:t>
      </w:r>
    </w:p>
    <w:p w14:paraId="7AF7133E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p>
            <m:sSupPr>
              <m:ctrlPr>
                <w:rPr>
                  <w:sz w:val="28"/>
                  <w:szCs w:val="22"/>
                </w:rPr>
              </m:ctrlPr>
            </m:sSupPr>
            <m:e>
              <m:sSub>
                <m:sSubPr>
                  <m:ctrlPr>
                    <w:rPr>
                      <w:sz w:val="28"/>
                      <w:szCs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</m:t>
                  </m:r>
                  <m:ctrlPr>
                    <w:rPr>
                      <w:sz w:val="28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</m:t>
                  </m:r>
                  <m:ctrlPr>
                    <w:rPr>
                      <w:sz w:val="28"/>
                      <w:szCs w:val="22"/>
                    </w:rPr>
                  </m:ctrlPr>
                </m:sub>
              </m:sSub>
              <m:ctrlPr>
                <w:rPr>
                  <w:sz w:val="28"/>
                  <w:szCs w:val="22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2"/>
                </w:rPr>
                <m:t>eff</m:t>
              </m:r>
              <m:ctrlPr>
                <w:rPr>
                  <w:sz w:val="28"/>
                  <w:szCs w:val="22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2"/>
            </w:rPr>
            <m:t>= 0.75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+ 0.125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t−1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+ 0.125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t−2</m:t>
              </m:r>
              <m:ctrlPr>
                <w:rPr>
                  <w:sz w:val="28"/>
                  <w:szCs w:val="22"/>
                </w:rPr>
              </m:ctrlPr>
            </m:sub>
          </m:sSub>
        </m:oMath>
      </m:oMathPara>
    </w:p>
    <w:p w14:paraId="1F31BBE8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由有效温度构造低于10℃、18℃及高于22℃、26℃的四个分段变量，均除以10。以相隔7天的温度特征变化解释对数电量变化，减轻星期差异和缓慢规模变化的干扰。样本两端均须为非假日且距离春节超过30天；对数电量差截断至−0.5至0.5，采用强度30的岭正则估计响应系数。</w:t>
      </w:r>
    </w:p>
    <w:p w14:paraId="7AA03623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将温度响应转为乘法因子，并以0.75系数收缩响应幅度。历史电量除以该因子，得到用于春节迁移的天气归一化电量；推理时再乘以未来预报温度对应的响应因子。该环节在统计模型内分离温度变化与春节模式，为跨年度形态迁移提供统一尺度。</w:t>
      </w:r>
    </w:p>
    <w:p w14:paraId="100362AA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（四）多年度春节模式迁移</w:t>
      </w:r>
    </w:p>
    <w:p w14:paraId="4AC90FAE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以春节当天为相位0，将目标月份映射到春节相位−16至+11，分别提取2023、2024、2025年的同相位天气归一化曲线。各年曲线除以对应窗口开始前5天的均值，得到相对变化比例；三年等权平均后，乘以当前预测起点前5天的天气归一化电量均值，将历史形态迁移到当前规模。</w:t>
      </w:r>
    </w:p>
    <w:p w14:paraId="5CE96CDB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历史曲线在春节相位−2至+6之外采用七日中心滑动平均，区间内保留原值。保留区间对应2026年2月15日至23日，覆盖春节专项考核窗口。中心平滑窗口只读取已知历史年度数据。</w:t>
      </w:r>
    </w:p>
    <w:p w14:paraId="27196311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针对各年假期长度差异，以春节假期结束后的第一天作为节后恢复对齐基准。相位+7起逐步混入按假期结束日平移的历史曲线，到+9达到50%的最大权重，使历史模板同时表征春节相位与法定假期结束后的恢复阶段。</w:t>
      </w:r>
    </w:p>
    <w:p w14:paraId="2B276F83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（五）融合输出与工程实现</w:t>
      </w:r>
    </w:p>
    <w:p w14:paraId="07439920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恢复未来温度影响后，先将总量模板与六个分项汇总模板等权融合，再与Ridge结果融合。对整个目标月份采用固定权重：</w:t>
      </w:r>
    </w:p>
    <w:p w14:paraId="1644A0F7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L̂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= clip(0.15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R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+ 0.425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A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+ 0.425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B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, 0,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U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)</m:t>
          </m:r>
        </m:oMath>
      </m:oMathPara>
    </w:p>
    <w:p w14:paraId="79BD9D95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式中，R为Ridge预测，A为总量模板预测，B为六分项模板预测之和；上限U为该城市历史电量99.9%分位数的1.5倍。上述权重适用于整个28日预测窗口。</w:t>
      </w:r>
    </w:p>
    <w:p w14:paraId="16462F9E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模型文件保存回归参数、特征顺序及必要历史状态；清单记录关键参数与代码、输入数据的SHA-256。推理检查特征和预报数据，执行融合与截断，生成280条结果。输出submit_result.csv包含city_id、date、pred字段，日期格式为YYYY/MM/DD。</w:t>
      </w:r>
    </w:p>
    <w:p w14:paraId="12336172">
      <w:pPr>
        <w:pStyle w:val="Caption"/>
        <w:keepNext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  <w:szCs w:val="24"/>
        </w:rPr>
        <w:t>表2  关键难点与对应措施</w:t>
      </w:r>
    </w:p>
    <w:tbl>
      <w:tblPr>
        <w:tblStyle w:val="5"/>
        <w:tblW w:w="8640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00"/>
        <w:gridCol w:w="4840"/>
      </w:tblGrid>
      <w:tr w14:paraId="693F54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80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8596FC8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难点</w:t>
            </w:r>
          </w:p>
        </w:tc>
        <w:tc>
          <w:tcPr>
            <w:tcW w:w="484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D03B442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解决措施</w:t>
            </w:r>
          </w:p>
        </w:tc>
      </w:tr>
      <w:tr w14:paraId="12746D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EFD6328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春节日期与用电规模变化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4BFA6E7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春节相位对齐，五日水平归一化与缩放</w:t>
            </w:r>
          </w:p>
        </w:tc>
      </w:tr>
      <w:tr w14:paraId="185527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D46192F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天气与行业效应交织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09D0438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分项温度响应估计，先归一化再恢复天气影响</w:t>
            </w:r>
          </w:p>
        </w:tc>
      </w:tr>
      <w:tr w14:paraId="41EE03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622BC2C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假期突变和节后恢复错位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FB318B0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核心假期不平滑，返工阶段渐进对齐</w:t>
            </w:r>
          </w:p>
        </w:tc>
      </w:tr>
      <w:tr w14:paraId="427365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FA976B0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长窗口预测与参数稳定性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2833A6E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直接多步回归、岭正则、响应收缩及范围约束</w:t>
            </w:r>
          </w:p>
        </w:tc>
      </w:tr>
      <w:bookmarkEnd w:id="1"/>
    </w:tbl>
    <w:p w14:paraId="7764AE14">
      <w:pPr>
        <w:pStyle w:val="Heading2"/>
        <w:keepNext/>
        <w:keepLines/>
        <w:pageBreakBefore/>
        <w:widowControl/>
        <w:spacing w:before="12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（六）模型结构图</w:t>
      </w:r>
    </w:p>
    <w:p w14:paraId="6C0ECECD">
      <w:pPr>
        <w:keepNext/>
        <w:keepLines/>
        <w:spacing w:before="12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5266944" cy="6879336"/>
            <wp:effectExtent l="0" t="0" r="0" b="6350"/>
            <wp:docPr id="1" name="Picture 1" descr="温度修正春节模板与Ridge融合模型整体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温度修正春节模板与Ridge融合模型整体结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68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4A56">
      <w:pPr>
        <w:pStyle w:val="Caption"/>
        <w:keepNext w:val="0"/>
        <w:keepLines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图1  温度修正春节模板与Ridge融合模型结构</w:t>
      </w:r>
    </w:p>
    <w:p w14:paraId="6A2719A7">
      <w:pPr>
        <w:pStyle w:val="2"/>
        <w:keepNext/>
        <w:pageBreakBefore/>
        <w:widowControl/>
        <w:spacing w:before="280" w:after="160" w:line="288" w:lineRule="auto"/>
        <w:ind w:firstLine="0" w:left="0" w:right="0"/>
        <w:rPr>
          <w:rFonts w:hint="default" w:eastAsia="黑体"/>
          <w:lang w:val="en-US" w:eastAsia="zh-CN"/>
        </w:rPr>
      </w:pPr>
      <w:bookmarkStart w:id="2" w:name="三时间安排与评审地点"/>
      <w:r>
        <w:rPr>
          <w:rFonts w:hint="eastAsia" w:ascii="宋体" w:hAnsi="宋体" w:eastAsia="宋体"/>
          <w:b/>
          <w:color w:val="000000"/>
          <w:sz w:val="32"/>
        </w:rPr>
        <w:t>三、</w:t>
      </w: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实施成果</w:t>
      </w:r>
    </w:p>
    <w:p w14:paraId="0728E794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（一）开发成果</w:t>
      </w:r>
    </w:p>
    <w:p w14:paraId="64397EBE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已实现数据读取、特征构造、模型训练、参数保存和预测输出的完整算法流程。训练入口为train_city_model，推理入口为predict_city_model；模型参数及必要历史状态以压缩NPZ文件保存，推理生成并校验280条地市日用电量预测结果。</w:t>
      </w:r>
    </w:p>
    <w:p w14:paraId="3505A052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回归输入为146维，逐城市回归模型共10个；在正式训练日期网格下，每城市训练样本为19600条。本模型在地市任务中的评测合计得分为23.904分，分项对比见表3。</w:t>
      </w:r>
    </w:p>
    <w:p w14:paraId="089C16F0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（二）评测指标与结果分析</w:t>
      </w:r>
    </w:p>
    <w:p w14:paraId="43A2B1DF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按官方规则，对城市c在窗口W内的逐日预测计算得分系数：</w:t>
      </w:r>
    </w:p>
    <w:p w14:paraId="19C062CF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S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c,W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= max(0, 1 −</m:t>
          </m:r>
          <m:rad>
            <m:radPr>
              <m:degHide m:val="1"/>
              <m:ctrlPr>
                <w:rPr>
                  <w:sz w:val="28"/>
                  <w:szCs w:val="22"/>
                </w:rPr>
              </m:ctrlPr>
            </m:radPr>
            <m:deg>
              <m:ctrlPr>
                <w:rPr>
                  <w:sz w:val="28"/>
                  <w:szCs w:val="22"/>
                </w:rPr>
              </m:ctrlPr>
            </m:deg>
            <m:e>
              <m:f>
                <m:fPr>
                  <m:ctrlPr>
                    <w:rPr>
                      <w:sz w:val="28"/>
                      <w:szCs w:val="22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1</m:t>
                  </m:r>
                  <m:ctrlPr>
                    <w:rPr>
                      <w:sz w:val="28"/>
                      <w:szCs w:val="22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n</m:t>
                  </m:r>
                  <m:ctrlPr>
                    <w:rPr>
                      <w:sz w:val="28"/>
                      <w:szCs w:val="22"/>
                    </w:rPr>
                  </m:ctrlP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sz w:val="28"/>
                      <w:szCs w:val="22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t∈W</m:t>
                  </m:r>
                  <m:ctrlPr>
                    <w:rPr>
                      <w:sz w:val="28"/>
                      <w:szCs w:val="22"/>
                    </w:rPr>
                  </m:ctrlPr>
                </m:sub>
                <m:sup>
                  <m:ctrlPr>
                    <w:rPr>
                      <w:sz w:val="28"/>
                      <w:szCs w:val="22"/>
                    </w:rPr>
                  </m:ctrlPr>
                </m:sup>
                <m:e>
                  <m:sSup>
                    <m:sSupPr>
                      <m:ctrlPr>
                        <w:rPr>
                          <w:sz w:val="28"/>
                          <w:szCs w:val="22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(</m:t>
                      </m:r>
                      <m:f>
                        <m:fPr>
                          <m:ctrlPr>
                            <w:rPr>
                              <w:sz w:val="28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y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2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ŷ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ctrlPr>
                            <w:rPr>
                              <w:sz w:val="28"/>
                              <w:szCs w:val="22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y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ctrlPr>
                            <w:rPr>
                              <w:sz w:val="28"/>
                              <w:szCs w:val="22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)</m:t>
                      </m:r>
                      <m:ctrlPr>
                        <w:rPr>
                          <w:sz w:val="28"/>
                          <w:szCs w:val="22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2</m:t>
                      </m:r>
                      <m:ctrlPr>
                        <w:rPr>
                          <w:sz w:val="28"/>
                          <w:szCs w:val="22"/>
                        </w:rPr>
                      </m:ctrlPr>
                    </m:sup>
                  </m:sSup>
                  <m:ctrlPr>
                    <w:rPr>
                      <w:sz w:val="28"/>
                      <w:szCs w:val="22"/>
                    </w:rPr>
                  </m:ctrlPr>
                </m:e>
              </m:nary>
              <m:ctrlPr>
                <w:rPr>
                  <w:sz w:val="28"/>
                  <w:szCs w:val="22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2"/>
            </w:rPr>
            <m:t>)</m:t>
          </m:r>
        </m:oMath>
      </m:oMathPara>
    </w:p>
    <w:p w14:paraId="7F16097B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其中y为真实电量，ŷ为预测电量，n为窗口天数。地市总分为10个城市全月系数均值的20倍，加春节专项系数均值的5倍。该指标衡量逐日相对误差，须逐城市计算后平均，不能用月累计电量误差或合并城市后的总体误差代替。［1］</w:t>
      </w:r>
    </w:p>
    <w:p w14:paraId="7CDC8488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表3列示Baseline与春节模板融合模型的地市任务成绩。全月考核满分20分，春节专项考核满分5分，地市任务合计满分25分。</w:t>
      </w:r>
    </w:p>
    <w:p w14:paraId="1E38D02D">
      <w:pPr>
        <w:pStyle w:val="Caption"/>
        <w:keepNext/>
        <w:keepLines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表3  地市任务评测成绩对比</w:t>
      </w:r>
    </w:p>
    <w:tbl>
      <w:tblPr>
        <w:tblStyle w:val="5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304"/>
        <w:gridCol w:w="2304"/>
        <w:gridCol w:w="2160"/>
      </w:tblGrid>
      <w:tr w14:paraId="773DC8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592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CECD5CF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w="2304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3302844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全月考核</w:t>
            </w:r>
          </w:p>
        </w:tc>
        <w:tc>
          <w:tcPr>
            <w:tcW w:w="2304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F7986A7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春节专项</w:t>
            </w:r>
          </w:p>
        </w:tc>
        <w:tc>
          <w:tcPr>
            <w:tcW w:w="216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9643F1D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合计</w:t>
            </w:r>
          </w:p>
        </w:tc>
      </w:tr>
      <w:tr w14:paraId="51EE0E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F270FB4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Baseline</w:t>
            </w:r>
          </w:p>
        </w:tc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AB1E9F3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18.129</w:t>
            </w:r>
          </w:p>
        </w:tc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1E9B910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4.439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285C9FA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22.568</w:t>
            </w:r>
          </w:p>
        </w:tc>
      </w:tr>
      <w:tr w14:paraId="14979F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B0504C3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本文模型</w:t>
            </w:r>
          </w:p>
        </w:tc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F2B41CB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19.102</w:t>
            </w:r>
          </w:p>
        </w:tc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31AC060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4.802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0FFAECF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23.904</w:t>
            </w:r>
          </w:p>
        </w:tc>
      </w:tr>
      <w:tr w14:paraId="55B30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8885FD3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增加分值</w:t>
            </w:r>
          </w:p>
        </w:tc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8C842B5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+0.973</w:t>
            </w:r>
          </w:p>
        </w:tc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F0C0022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+0.363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71963AD">
            <w:pPr>
              <w:keepNext w:val="0"/>
              <w:spacing w:after="0" w:line="276" w:lineRule="auto" w:before="0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+1.336</w:t>
            </w:r>
          </w:p>
        </w:tc>
      </w:tr>
    </w:tbl>
    <w:p w14:paraId="51468751">
      <w:pPr>
        <w:widowControl/>
        <w:spacing w:before="12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本模型合计得分为23.904分，较Baseline的22.568分增加1.336分，得分增幅为5.92%。全月与春节专项分别提高0.973分和0.363分，两项考核均优于Baseline。得分增幅按增加分值与Baseline合计得分之比计算。</w:t>
      </w:r>
    </w:p>
    <w:p w14:paraId="3DA66F1C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本次评测覆盖2026年2月1日至28日的10个地市，春节专项窗口为2月15日至23日。结果表明，温度修正春节模板与Ridge融合方案在上述任务及评分窗口内取得了高于Baseline的预测得分。</w:t>
      </w:r>
    </w:p>
    <w:bookmarkEnd w:id="2"/>
    <w:p w14:paraId="2C4F130D">
      <w:pPr>
        <w:pStyle w:val="Heading2"/>
        <w:keepNext/>
        <w:widowControl/>
        <w:spacing w:before="200" w:after="12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8"/>
        </w:rPr>
        <w:t>（三）2025年春节相位历史回测</w:t>
      </w:r>
    </w:p>
    <w:p w14:paraId="41132285">
      <w:pPr>
        <w:pStyle w:val="Heading3"/>
        <w:keepNext/>
        <w:widowControl/>
        <w:spacing w:before="160" w:after="100" w:line="288" w:lineRule="auto"/>
        <w:ind w:firstLine="0" w:left="0" w:right="0"/>
        <w:rPr>
          <w:b/>
          <w:bCs w:val="0"/>
        </w:rPr>
      </w:pPr>
      <w:bookmarkStart w:id="5" w:name="_GoBack"/>
      <w:r>
        <w:rPr>
          <w:rFonts w:ascii="宋体" w:hAnsi="宋体" w:eastAsia="宋体"/>
          <w:b/>
          <w:bCs w:val="0"/>
          <w:color w:val="000000"/>
          <w:sz w:val="24"/>
        </w:rPr>
        <w:t>1. 回测设置</w:t>
      </w:r>
    </w:p>
    <w:bookmarkEnd w:id="5"/>
    <w:p w14:paraId="1FD94027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为验证模型在春节场景下的有效性，选取2025年春节开展历史回测。训练数据截断至2025年1月12日，预测2025年1月13日至2月9日，共28天；其中1月27日至2月4日为春节专项窗口。该预测窗口对应春节相位−16至+11，专项窗口对应−2至+6，与2026年正式任务保持一致。</w:t>
      </w:r>
    </w:p>
    <w:p w14:paraId="5CECC2EC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回测按预测起点重新训练。Ridge监督样本的目标日期均早于预测起点，标准化参数、残差尺度修正、温度响应参数、气象填充值和历史裁剪上限均仅由训练段估计；验证期真实负荷只用于评分与作图。春节模板等权使用2023年和2024年已完整观测的历史窗口，28天直接预测过程中不逐日补入验证期真实负荷。 截断后共形成316个训练起点，每城市8848条监督样本；正式任务的700个起点和19600条样本不适用于本回测。［5］</w:t>
      </w:r>
    </w:p>
    <w:p w14:paraId="28BC2C47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由于未获得对应起报时点的2025年历史气象预报，本实验对所有模型统一使用验证期同期实测气象作为外生输入，属于使用实测气象的条件回测，不包含天气预报误差。表3为2026年平台线上成绩，以下历史回测使用另一预测窗口按同一评分公式评估，不与线上成绩混合计算增益。 所有比较均在各自窗口内进行。</w:t>
      </w:r>
    </w:p>
    <w:p w14:paraId="7095DA40">
      <w:pPr>
        <w:pStyle w:val="Heading3"/>
        <w:keepNext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2. 模块消融结果</w:t>
      </w:r>
    </w:p>
    <w:p w14:paraId="56E1C79F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各变体使用相同的数据划分、气象条件、评分窗口和裁剪规则，仅按设定关闭目标模块。关闭温度修正时，同时取消春节模板的历史温度归一化与未来温度恢复；关闭行业分项融合时，模板仅保留总量通道；关闭节后恢复对齐时，保留春节相位对齐并取消恢复阶段的日期平移混合；关闭历史曲线平滑时，主模板和平移分支均使用未平滑曲线。单分支实验只改变最终融合权重。</w:t>
      </w:r>
    </w:p>
    <w:p>
      <w:pPr>
        <w:widowControl/>
        <w:spacing w:before="0" w:after="80" w:line="288" w:lineRule="auto"/>
        <w:ind w:firstLine="0" w:left="0" w:right="0"/>
        <w:jc w:val="both"/>
      </w:pPr>
      <w:r>
        <w:rPr>
          <w:rFonts w:ascii="宋体" w:hAnsi="宋体" w:eastAsia="宋体"/>
          <w:b w:val="0"/>
          <w:color w:val="000000"/>
          <w:sz w:val="21"/>
        </w:rPr>
        <w:t>注：表4、表5及相关正文中的合计和差值均由未舍入结果计算，再保留三位小数，因此可能与显示分项的直接加减相差0.001分。</w:t>
      </w:r>
    </w:p>
    <w:p w14:paraId="498591CB">
      <w:pPr>
        <w:pStyle w:val="Caption"/>
        <w:keepNext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表4  2025年春节相位条件回测模块消融结果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872"/>
        <w:gridCol w:w="1872"/>
        <w:gridCol w:w="1872"/>
      </w:tblGrid>
      <w:tr w14:paraId="7361D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/>
          <w:cantSplit/>
        </w:trPr>
        <w:tc>
          <w:tcPr>
            <w:tcW w:w="2835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8EB1C4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实验版本</w:t>
            </w:r>
          </w:p>
        </w:tc>
        <w:tc>
          <w:tcPr>
            <w:tcW w:w="1361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DBD6AD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28天得分</w:t>
            </w:r>
          </w:p>
        </w:tc>
        <w:tc>
          <w:tcPr>
            <w:tcW w:w="1361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40AF7C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春节专项</w:t>
            </w:r>
          </w:p>
        </w:tc>
        <w:tc>
          <w:tcPr>
            <w:tcW w:w="1361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DD5629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合计得分</w:t>
            </w:r>
          </w:p>
        </w:tc>
        <w:tc>
          <w:tcPr>
            <w:tcW w:w="1814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213011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相对完整模型</w:t>
            </w:r>
          </w:p>
        </w:tc>
      </w:tr>
      <w:tr w14:paraId="3803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A6DB9F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官方Baseline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55F1B9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17.590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9ED61A7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4.265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A613C3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21.856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6FD84F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-2.108</w:t>
            </w:r>
          </w:p>
        </w:tc>
      </w:tr>
      <w:tr w14:paraId="4C7C3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C5617C2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完整模型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3DC887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19.182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07C61FA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4.781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9AEE1E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23.963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32F8433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—</w:t>
            </w:r>
          </w:p>
        </w:tc>
      </w:tr>
      <w:tr w14:paraId="11BAF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905797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关闭温度修正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EFD42A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19.084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E52EE6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4.771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3CB5120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23.854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BCCBC8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-0.109</w:t>
            </w:r>
          </w:p>
        </w:tc>
      </w:tr>
      <w:tr w14:paraId="7A65F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65EE13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关闭行业分项融合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B37B81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19.152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1688FB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4.767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C18C640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23.918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BE7B51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-0.045</w:t>
            </w:r>
          </w:p>
        </w:tc>
      </w:tr>
      <w:tr w14:paraId="77B5E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2720E6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关闭节后恢复对齐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01E243B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19.178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11731A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4.781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2A82FA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23.960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B616D6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-0.004</w:t>
            </w:r>
          </w:p>
        </w:tc>
      </w:tr>
      <w:tr w14:paraId="7FBF7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924914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关闭历史曲线平滑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98BD972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19.041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B456E7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4.781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3BB38B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23.822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790480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-0.141</w:t>
            </w:r>
          </w:p>
        </w:tc>
      </w:tr>
      <w:tr w14:paraId="2348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4C45FD3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仅春节模板分支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6E9DA3B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19.149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42D2B97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4.790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4ED16E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23.939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44FF26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-0.025</w:t>
            </w:r>
          </w:p>
        </w:tc>
      </w:tr>
      <w:tr w14:paraId="275EE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8B3B26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仅Ridge分支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6ED966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17.824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A60D08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4.487</w:t>
            </w:r>
          </w:p>
        </w:tc>
        <w:tc>
          <w:tcPr>
            <w:tcW w:w="136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DC068F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22.311</w:t>
            </w:r>
          </w:p>
        </w:tc>
        <w:tc>
          <w:tcPr>
            <w:tcW w:w="181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98ABCD4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-1.653</w:t>
            </w:r>
          </w:p>
        </w:tc>
      </w:tr>
    </w:tbl>
    <w:p w14:paraId="262142AF">
      <w:pPr>
        <w:keepNext/>
        <w:spacing w:after="40" w:line="240" w:lineRule="auto" w:before="120"/>
        <w:jc w:val="center"/>
      </w:pPr>
      <w:r>
        <w:drawing>
          <wp:inline distT="0" distB="0" distL="114300" distR="114300">
            <wp:extent cx="5715000" cy="3251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DCF1">
      <w:pPr>
        <w:pStyle w:val="Caption"/>
        <w:keepNext w:val="0"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图2  模块消融合计得分对比</w:t>
      </w:r>
    </w:p>
    <w:p w14:paraId="3E8C606C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完整模型的28天得分为19.182分，春节专项得分为4.781分，合计23.963分；同期本地复现的官方Prophet Baseline合计21.856分，完整模型提高2.108分。各指定关闭变体的合计得分均低于完整模型，其中关闭节后恢复对齐仅下降约0.004分，不能据此认定该模块具有跨窗口稳定贡献。仅春节模板分支为23.939分，完整融合模型相对其提高约0.025分，说明本窗口的主要预测能力来自春节模板，Ridge融合带来的额外增益较小。</w:t>
      </w:r>
    </w:p>
    <w:p w14:paraId="3AAF028C">
      <w:pPr>
        <w:pStyle w:val="Heading3"/>
        <w:keepNext/>
        <w:pageBreakBefore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3. 融合权重敏感性</w:t>
      </w:r>
    </w:p>
    <w:p w14:paraId="5B707B05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固定Ridge与春节模板两条分支的预测，以及模板内部总量与行业分项的融合权重，扫描模板权重w，即以（1−w）R+wT构造预测并执行相同裁剪。w=0表示仅Ridge，w=1表示仅春节模板。w由0增至0.1时，本窗口合计得分从22.311分升至22.562分；该变化反映两分支逐日误差及非线性评分函数的共同作用。端点核验表明，w=0、0.85和1分别与Ridge单分支、完整模型和春节模板单分支逐元素一致。</w:t>
      </w:r>
    </w:p>
    <w:p w14:paraId="0324597D">
      <w:pPr>
        <w:keepNext/>
        <w:spacing w:after="40" w:line="240" w:lineRule="auto" w:before="120"/>
        <w:jc w:val="center"/>
      </w:pPr>
      <w:r>
        <w:drawing>
          <wp:inline distT="0" distB="0" distL="114300" distR="114300">
            <wp:extent cx="4389120" cy="485648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5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7C2">
      <w:pPr>
        <w:pStyle w:val="Caption"/>
        <w:keepNext w:val="0"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图3  Ridge与春节模板融合权重敏感性</w:t>
      </w:r>
    </w:p>
    <w:p w14:paraId="4E1A32A5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原配置w=0.85取得23.963分；同一验证窗口上的最高值为w=0.90时的23.977分，两者相差0.014分。w=0.85位于曲线高分区间，本轮不依据同一验证窗口的扫描结果调整正式模型权重。 该最高值属于同一验证窗口上的参数扫描结果，不是独立测试成绩。</w:t>
      </w:r>
    </w:p>
    <w:p w14:paraId="1BEB61BA">
      <w:pPr>
        <w:pStyle w:val="Heading3"/>
        <w:keepNext/>
        <w:pageBreakBefore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4. 分城市预测与误差分析</w:t>
      </w:r>
    </w:p>
    <w:p w14:paraId="7FAA1172">
      <w:pPr>
        <w:keepNext w:val="0"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分城市评分仍按官方公式先计算各城市逐日相对误差，再进行城市平均。10个城市的合计得分均高于本地官方Baseline；其中城市4的春节专项得分与Baseline基本持平，差值为−0.003分。分城市结果见表5，预测曲线与有符号相对误差分别见图4和图5。图中日用电量采用数据集的归一化量纲，竖向虚线标示春节当天，阴影区域标示春节专项窗口。 有符号相对误差定义为（预测值−实际值）／实际值，正值表示高估，负值表示低估。</w:t>
      </w:r>
    </w:p>
    <w:p w14:paraId="0F5C8DE6">
      <w:pPr>
        <w:pStyle w:val="Caption"/>
        <w:keepNext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表5  分城市得分及相对本地官方Baseline增益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w14:paraId="143B5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/>
          <w:cantSplit/>
        </w:trPr>
        <w:tc>
          <w:tcPr>
            <w:tcW w:w="1191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D872D6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城市</w:t>
            </w:r>
          </w:p>
        </w:tc>
        <w:tc>
          <w:tcPr>
            <w:tcW w:w="1417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FD77E60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Baseline合计</w:t>
            </w:r>
          </w:p>
        </w:tc>
        <w:tc>
          <w:tcPr>
            <w:tcW w:w="1587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69EAB2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完整模型28天</w:t>
            </w:r>
          </w:p>
        </w:tc>
        <w:tc>
          <w:tcPr>
            <w:tcW w:w="1587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957BC1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完整模型专项</w:t>
            </w:r>
          </w:p>
        </w:tc>
        <w:tc>
          <w:tcPr>
            <w:tcW w:w="1587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004554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完整模型合计</w:t>
            </w:r>
          </w:p>
        </w:tc>
        <w:tc>
          <w:tcPr>
            <w:tcW w:w="1417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AE4C840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合计增益</w:t>
            </w:r>
          </w:p>
        </w:tc>
      </w:tr>
      <w:tr w14:paraId="6946E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C1A490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城市1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67F598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17.836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37111D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18.565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495F7A4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4.626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D4F40B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23.191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3F6CC3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+5.355</w:t>
            </w:r>
          </w:p>
        </w:tc>
      </w:tr>
      <w:tr w14:paraId="088E3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76C9293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城市2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498524B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20.511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92C5AB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19.256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6FBCB9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4.856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3E73C4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24.112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5B786A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+3.601</w:t>
            </w:r>
          </w:p>
        </w:tc>
      </w:tr>
      <w:tr w14:paraId="56340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D1AEE72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城市3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6FCE41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20.188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1AEBA9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18.828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9DDB66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4.684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E3B59C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23.512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233CA37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+3.324</w:t>
            </w:r>
          </w:p>
        </w:tc>
      </w:tr>
      <w:tr w14:paraId="18350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49E459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城市4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0B06763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24.035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56772D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19.336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A8E6637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4.756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74FACF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24.092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369C07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+0.057</w:t>
            </w:r>
          </w:p>
        </w:tc>
      </w:tr>
      <w:tr w14:paraId="0F1A2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C2C3EF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城市5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612BF19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23.929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5A591A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19.219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94E7C5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4.793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765BE0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24.012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2DCDA6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+0.083</w:t>
            </w:r>
          </w:p>
        </w:tc>
      </w:tr>
      <w:tr w14:paraId="4DC1D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EAEB824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城市6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A8BEE36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23.018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299C0C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19.311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05696B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4.808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8EEE0D2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24.119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81F4B0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+1.101</w:t>
            </w:r>
          </w:p>
        </w:tc>
      </w:tr>
      <w:tr w14:paraId="3BC82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84BD9E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城市7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D67714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22.554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B32BB7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19.430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348D1E4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4.776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9705D2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24.206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A95FAC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+1.652</w:t>
            </w:r>
          </w:p>
        </w:tc>
      </w:tr>
      <w:tr w14:paraId="35B76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E0362E1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城市8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4CF7C2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23.169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D03B91D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19.073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DA61AAA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4.758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3DC15D7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23.831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003F61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+0.661</w:t>
            </w:r>
          </w:p>
        </w:tc>
      </w:tr>
      <w:tr w14:paraId="0BE31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6AB193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城市9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F251A32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21.634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5F9FC1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19.381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E0DE7C4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4.821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DC42AE0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24.202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0C4C668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+2.568</w:t>
            </w:r>
          </w:p>
        </w:tc>
      </w:tr>
      <w:tr w14:paraId="5880F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191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A642EAF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城市10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9B3AF75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21.680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7AB5D34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19.420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C0A8DEC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4.937</w:t>
            </w:r>
          </w:p>
        </w:tc>
        <w:tc>
          <w:tcPr>
            <w:tcW w:w="158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D2D1C1E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24.357</w:t>
            </w:r>
          </w:p>
        </w:tc>
        <w:tc>
          <w:tcPr>
            <w:tcW w:w="1417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251F8D3">
            <w:pPr>
              <w:keepNext w:val="0"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+2.676</w:t>
            </w:r>
          </w:p>
        </w:tc>
      </w:tr>
    </w:tbl>
    <w:p w14:paraId="06AAEC5D">
      <w:pPr>
        <w:spacing w:before="120"/>
      </w:pPr>
      <w:r>
        <w:br w:type="page"/>
      </w:r>
    </w:p>
    <w:p w14:paraId="0C9F36E7">
      <w:pPr>
        <w:keepNext/>
        <w:spacing w:after="40" w:line="240" w:lineRule="auto" w:before="120"/>
        <w:jc w:val="center"/>
      </w:pPr>
      <w:r>
        <w:drawing>
          <wp:inline distT="0" distB="0" distL="114300" distR="114300">
            <wp:extent cx="5577840" cy="68351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3469">
      <w:pPr>
        <w:pStyle w:val="Caption"/>
        <w:keepNext w:val="0"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图4  10个城市实际值、本地官方Baseline与完整模型预测对比（条件回测）</w:t>
      </w:r>
    </w:p>
    <w:p w14:paraId="68F09DC7">
      <w:r>
        <w:br w:type="page"/>
      </w:r>
    </w:p>
    <w:p w14:paraId="4F1B1D1C">
      <w:pPr>
        <w:keepNext/>
        <w:spacing w:after="40" w:line="240" w:lineRule="auto" w:before="120"/>
        <w:jc w:val="center"/>
      </w:pPr>
      <w:r>
        <w:drawing>
          <wp:inline distT="0" distB="0" distL="114300" distR="114300">
            <wp:extent cx="5577840" cy="683387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41F">
      <w:pPr>
        <w:pStyle w:val="Caption"/>
        <w:keepNext w:val="0"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图5  10个城市逐日有符号相对误差（条件回测）</w:t>
      </w:r>
    </w:p>
    <w:p w14:paraId="0B70482D">
      <w:pPr>
        <w:keepNext w:val="0"/>
        <w:keepLines/>
        <w:widowControl/>
        <w:spacing w:before="0" w:after="80" w:line="324" w:lineRule="auto"/>
        <w:ind w:firstLine="480" w:left="0" w:right="0"/>
        <w:jc w:val="both"/>
      </w:pPr>
      <w:r>
        <w:rPr>
          <w:rFonts w:ascii="宋体" w:hAnsi="宋体" w:eastAsia="宋体"/>
          <w:b w:val="0"/>
          <w:color w:val="000000"/>
          <w:sz w:val="24"/>
        </w:rPr>
        <w:t>本次单窗口条件回测中，完整模型较本地复现的官方Baseline取得更高合计得分，10个城市的合计指标均有改善，但城市4春节专项略有下降。权重扫描显示原配置接近本窗口高分区域，尚不能证明其为跨年度最优权重。由于2024年同相位预测起点之前仅有389天历史数据，不满足400天队列要求，未构造同规格的2024年完整模型回测；现有证据不包含气象预报误差，也不足以证明跨年度稳定性。［5］</w:t>
      </w:r>
    </w:p>
    <w:p w14:paraId="1FCE601B">
      <w:pPr>
        <w:pStyle w:val="2"/>
        <w:keepNext/>
        <w:widowControl/>
        <w:spacing w:before="280" w:after="160" w:line="288" w:lineRule="auto"/>
        <w:ind w:firstLine="0" w:left="0" w:right="0"/>
        <w:rPr>
          <w:rFonts w:hint="default" w:eastAsia="黑体"/>
          <w:sz w:val="28"/>
          <w:szCs w:val="28"/>
          <w:lang w:val="en-US" w:eastAsia="zh-CN"/>
        </w:rPr>
      </w:pPr>
      <w:bookmarkStart w:id="3" w:name="四专家组安排"/>
      <w:r>
        <w:rPr>
          <w:rFonts w:hint="eastAsia" w:ascii="宋体" w:hAnsi="宋体" w:eastAsia="宋体"/>
          <w:b/>
          <w:color w:val="000000"/>
          <w:sz w:val="32"/>
          <w:szCs w:val="28"/>
        </w:rPr>
        <w:t>四、</w:t>
      </w:r>
      <w:r>
        <w:rPr>
          <w:rFonts w:hint="eastAsia" w:ascii="宋体" w:hAnsi="宋体" w:eastAsia="宋体"/>
          <w:b/>
          <w:color w:val="000000"/>
          <w:sz w:val="32"/>
          <w:szCs w:val="28"/>
          <w:lang w:val="en-US" w:eastAsia="zh-CN"/>
        </w:rPr>
        <w:t>创新性与可行性分析</w:t>
      </w:r>
    </w:p>
    <w:p w14:paraId="740FA877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（一）技术特点</w:t>
      </w:r>
    </w:p>
    <w:p w14:paraId="691DAEB7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一是分离春节形态、近期规模与温度影响。相位对齐描述节日变化，五日基准适应用电水平，温度响应修正跨年份天气差异，使模板迁移具备清晰的业务解释。二是利用明确的行业加总关系，同时构造总量和分项汇总两种估计。三是在核心假期保留变化形态，并以假期结束日调整恢复阶段。方案特点体现为面向春节预测的结构化组合，基础回归与平滑算法采用成熟方法。</w:t>
      </w:r>
    </w:p>
    <w:p w14:paraId="34CFAC9D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（二）工程实现与交付</w:t>
      </w:r>
    </w:p>
    <w:p w14:paraId="16E9438A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训练与推理采用NumPy、Pandas和节假日日历库实现，通过CPU执行特征计算、线性方程求解和预测融合，不依赖GPU专用算子。模型参数以压缩文件存储，训练和推理入口分离，支持赛事平台的批量调用。</w:t>
      </w:r>
    </w:p>
    <w:p w14:paraId="6D6DDA7E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交付配置对应2026年2月的固定预测任务：历史电量队列为400天，预测长度为28天，模板年份为2023至2025年。推理输入为赛事提供的未来气象预报，输出包含city_id、date、pred三个字段，日期格式为YYYY/MM/DD。</w:t>
      </w:r>
    </w:p>
    <w:p w14:paraId="3B280B75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程序在数据读取和推理输出环节执行完整性检查，包括行业电量的有限性与非负性、城市与预报日期覆盖、特征顺序一致性，以及预测结果的行数、缺失值和非负约束。模型清单记录关键参数及代码、输入数据的SHA-256，用于版本追踪。</w:t>
      </w:r>
    </w:p>
    <w:bookmarkEnd w:id="3"/>
    <w:p w14:paraId="1211F80B">
      <w:pPr>
        <w:pStyle w:val="2"/>
        <w:keepNext/>
        <w:pageBreakBefore/>
        <w:widowControl/>
        <w:spacing w:before="280" w:after="160" w:line="288" w:lineRule="auto"/>
        <w:ind w:firstLine="0" w:left="0" w:right="0"/>
        <w:rPr>
          <w:rFonts w:hint="eastAsia" w:eastAsia="黑体"/>
          <w:lang w:val="en-US" w:eastAsia="zh-CN"/>
        </w:rPr>
      </w:pPr>
      <w:bookmarkStart w:id="4" w:name="五评分与晋级规则"/>
      <w:r>
        <w:rPr>
          <w:rFonts w:hint="eastAsia" w:ascii="宋体" w:hAnsi="宋体" w:eastAsia="宋体"/>
          <w:b/>
          <w:color w:val="000000"/>
          <w:sz w:val="32"/>
        </w:rPr>
        <w:t>五、</w:t>
      </w:r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附录</w:t>
      </w:r>
    </w:p>
    <w:p w14:paraId="32A2F67E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（一）关键参数</w:t>
      </w:r>
    </w:p>
    <w:p w14:paraId="1BA48715">
      <w:pPr>
        <w:pStyle w:val="Caption"/>
        <w:keepNext/>
        <w:widowControl/>
        <w:spacing w:before="100" w:after="120" w:line="288" w:lineRule="auto"/>
        <w:ind w:firstLine="0" w:left="0" w:right="0"/>
        <w:jc w:val="center"/>
      </w:pPr>
      <w:r>
        <w:rPr>
          <w:rFonts w:ascii="宋体" w:hAnsi="宋体" w:eastAsia="宋体"/>
          <w:b/>
          <w:color w:val="000000"/>
          <w:sz w:val="22"/>
        </w:rPr>
        <w:t>表6  春节模板融合模型参数配置</w:t>
      </w:r>
    </w:p>
    <w:tbl>
      <w:tblPr>
        <w:tblStyle w:val="5"/>
        <w:tblW w:w="8640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00"/>
        <w:gridCol w:w="4840"/>
      </w:tblGrid>
      <w:tr w14:paraId="50F346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80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186E527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参数</w:t>
            </w:r>
          </w:p>
        </w:tc>
        <w:tc>
          <w:tcPr>
            <w:tcW w:w="4840" w:type="dxa"/>
            <w:vAlign w:val="center"/>
            <w:shd w:fill="E8EEF3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A791C9D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  <w:szCs w:val="24"/>
              </w:rPr>
              <w:t>取值</w:t>
            </w:r>
          </w:p>
        </w:tc>
      </w:tr>
      <w:tr w14:paraId="45B40D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65C8C5D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预测长度／历史电量队列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631714D0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28天／400天</w:t>
            </w:r>
          </w:p>
        </w:tc>
      </w:tr>
      <w:tr w14:paraId="571D95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4545FD2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回归输入／Ridge正则强度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0251D084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146维／30</w:t>
            </w:r>
          </w:p>
        </w:tc>
      </w:tr>
      <w:tr w14:paraId="18BF1A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C0F19C2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模板历史年份／年度权重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29C5711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2023、2024、2025／各1/3</w:t>
            </w:r>
          </w:p>
        </w:tc>
      </w:tr>
      <w:tr w14:paraId="1AC7F1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F8F7270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水平缩放窗口／历史平滑窗口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F4F886F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5天／7天</w:t>
            </w:r>
          </w:p>
        </w:tc>
      </w:tr>
      <w:tr w14:paraId="3B090F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ED58BFA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温度响应正则／响应收缩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DF04FA0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30／0.75</w:t>
            </w:r>
          </w:p>
        </w:tc>
      </w:tr>
      <w:tr w14:paraId="4F5E07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28D52EA9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温度记忆／返工最大对齐权重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71F0F603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0.25／0.50</w:t>
            </w:r>
          </w:p>
        </w:tc>
      </w:tr>
      <w:tr w14:paraId="40497C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1B53EBD1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模板分支／Ridge分支权重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4567DC94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0.85／0.15</w:t>
            </w:r>
          </w:p>
        </w:tc>
      </w:tr>
      <w:tr w14:paraId="016E3B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3C8FE547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模板内分项汇总权重</w:t>
            </w:r>
          </w:p>
        </w:tc>
        <w:tc>
          <w:tcPr>
            <w:tcW w:w="4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 w14:paraId="56ADDD67">
            <w:pPr>
              <w:keepNext w:val="0"/>
              <w:widowControl/>
              <w:spacing w:before="0" w:after="0" w:line="276" w:lineRule="auto"/>
              <w:ind w:firstLine="0" w:firstLineChars="0" w:leftChars="0" w:rightChars="0" w:left="0" w:right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4"/>
              </w:rPr>
              <w:t>0.50</w:t>
            </w:r>
          </w:p>
        </w:tc>
      </w:tr>
    </w:tbl>
    <w:p w14:paraId="455F5B7E">
      <w:pPr>
        <w:pStyle w:val="Heading2"/>
        <w:keepNext/>
        <w:keepLines/>
        <w:widowControl/>
        <w:spacing w:before="12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（二）关键代码片段</w:t>
      </w:r>
    </w:p>
    <w:p w14:paraId="55AA7801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以下代码摘录温度修正春节模板与Ridge融合模型的核心实现，保留计算逻辑并调整换行。片段中的变量和辅助函数沿用city_pipeline.py的原函数上下文。［3］</w:t>
      </w:r>
    </w:p>
    <w:p w14:paraId="0E571486">
      <w:pPr>
        <w:pStyle w:val="Heading3"/>
        <w:keepNext/>
        <w:keepLines/>
        <w:pageBreakBefore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1. 岭回归求解与尺度还原</w:t>
      </w:r>
    </w:p>
    <w:p w14:paraId="1D6EDA00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对应fit_ridge_pooled。回归训练使用mode为log、alpha为30；均值和标准差由训练样本估计，smear用于指数逆变换后的尺度修正。</w:t>
      </w:r>
    </w:p>
    <w:p w14:paraId="56FD2C8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def fit_ridge_pooled(x, y, alpha, mode):</w:t>
      </w:r>
    </w:p>
    <w:p w14:paraId="1270E16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mean = x.mean(axis=0)</w:t>
      </w:r>
    </w:p>
    <w:p w14:paraId="06A0ED5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 = x.std(axis=0)</w:t>
      </w:r>
    </w:p>
    <w:p w14:paraId="54168A2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scale[scale &lt; 1e-12] = 1.0</w:t>
      </w:r>
    </w:p>
    <w:p w14:paraId="2064BB9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scaled = (x - mean) / scale</w:t>
      </w:r>
    </w:p>
    <w:p w14:paraId="5316E7B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mode == "log":</w:t>
      </w:r>
    </w:p>
    <w:p w14:paraId="663C5C0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target = np.log10(np.maximum(y, 1e-6))</w:t>
      </w:r>
    </w:p>
    <w:p w14:paraId="7D0D49D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else:</w:t>
      </w:r>
    </w:p>
    <w:p w14:paraId="46D7A43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target = y.astype(np.float64)</w:t>
      </w:r>
    </w:p>
    <w:p w14:paraId="017B01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target_mean = float(target.mean())</w:t>
      </w:r>
    </w:p>
    <w:p w14:paraId="438184D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gram = scaled.T @ scaled</w:t>
      </w:r>
    </w:p>
    <w:p w14:paraId="493E899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rhs = scaled.T @ (target - target_mean)</w:t>
      </w:r>
    </w:p>
    <w:p w14:paraId="7E74AEC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coefficient = np.linalg.solve(</w:t>
      </w:r>
    </w:p>
    <w:p w14:paraId="47D372D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gram + alpha * np.eye(gram.shape[0], dtype=np.float64), rhs</w:t>
      </w:r>
    </w:p>
    <w:p w14:paraId="75DDDE8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</w:t>
      </w:r>
    </w:p>
    <w:p w14:paraId="3F93E77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smear = 1.0</w:t>
      </w:r>
    </w:p>
    <w:p w14:paraId="29C65CA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mode == "log":</w:t>
      </w:r>
    </w:p>
    <w:p w14:paraId="336B9CB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fitted = target_mean + scaled @ coefficient</w:t>
      </w:r>
    </w:p>
    <w:p w14:paraId="6E43530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smear = float(np.mean(10 ** (target - fitted)))</w:t>
      </w:r>
    </w:p>
    <w:p w14:paraId="0EEEA77A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return mean, scale, coefficient, target_mean, smear</w:t>
      </w:r>
    </w:p>
    <w:p w14:paraId="73DECCC7">
      <w:pPr>
        <w:pStyle w:val="Heading3"/>
        <w:keepNext/>
        <w:keepLines/>
        <w:pageBreakBefore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2. 行业温度响应与历史归一化</w:t>
      </w:r>
    </w:p>
    <w:p w14:paraId="37B47B46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对应_thermal_features及_fit_thermal_upgrade。temps先经过温度记忆加权；mask限定普通日期的周差分配对。每城市同时求解总量与六个分项的温度系数。</w:t>
      </w:r>
    </w:p>
    <w:p w14:paraId="63D9A8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def _thermal_features(temperature):</w:t>
      </w:r>
    </w:p>
    <w:p w14:paraId="0F1377D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temp = np.asarray(temperature, np.float64)</w:t>
      </w:r>
    </w:p>
    <w:p w14:paraId="7AAF827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return np.stack([</w:t>
      </w:r>
    </w:p>
    <w:p w14:paraId="04D1D0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10 - temp) / 10,</w:t>
      </w:r>
    </w:p>
    <w:p w14:paraId="28F03D8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18 - temp) / 10,</w:t>
      </w:r>
    </w:p>
    <w:p w14:paraId="7357E43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temp - 22) / 10,</w:t>
      </w:r>
    </w:p>
    <w:p w14:paraId="5DF086C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temp - 26) / 10,</w:t>
      </w:r>
    </w:p>
    <w:p w14:paraId="0823447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], axis=-1)</w:t>
      </w:r>
    </w:p>
    <w:p w14:paraId="720D96F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</w:p>
    <w:p w14:paraId="26AB76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feat = _thermal_features(</w:t>
      </w:r>
    </w:p>
    <w:p w14:paraId="1EF43AC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_thermal_effective_temperature(temps, THERMAL_MEMORY)</w:t>
      </w:r>
    </w:p>
    <w:p w14:paraId="1281B92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5548EB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log_load = np.log(np.maximum(cube, 1e-7))</w:t>
      </w:r>
    </w:p>
    <w:p w14:paraId="27EE0D0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dx = feat[7:] - feat[:-7]</w:t>
      </w:r>
    </w:p>
    <w:p w14:paraId="42B9571B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dy = log_load[7:] - log_load[:-7]</w:t>
      </w:r>
    </w:p>
    <w:p w14:paraId="0157275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coefficients = []</w:t>
      </w:r>
    </w:p>
    <w:p w14:paraId="3ACE06E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for city_index in range(len(cities)):</w:t>
      </w:r>
    </w:p>
    <w:p w14:paraId="3C438CC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x = dx[mask, city_index]</w:t>
      </w:r>
    </w:p>
    <w:p w14:paraId="2BF3FB7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target = np.clip(dy[mask, city_index], -0.5, 0.5)</w:t>
      </w:r>
    </w:p>
    <w:p w14:paraId="173A40A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coefficients.append(np.linalg.solve(</w:t>
      </w:r>
    </w:p>
    <w:p w14:paraId="4E53C94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x.T @ x + THERMAL_ALPHA * np.eye(x.shape[1]), x.T @ target</w:t>
      </w:r>
    </w:p>
    <w:p w14:paraId="75E38AA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))</w:t>
      </w:r>
    </w:p>
    <w:p w14:paraId="09779E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coefficients = np.asarray(coefficients, np.float64)</w:t>
      </w:r>
    </w:p>
    <w:p w14:paraId="596D960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response = np.exp(THERMAL_GAMMA * np.einsum(</w:t>
      </w:r>
    </w:p>
    <w:p w14:paraId="5928490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"dcf,cfj-&gt;dcj", feat, coefficients</w:t>
      </w:r>
    </w:p>
    <w:p w14:paraId="026277D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2564DDC7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neutral = cube / response</w:t>
      </w:r>
    </w:p>
    <w:p w14:paraId="4BBDB74B">
      <w:pPr>
        <w:pStyle w:val="Heading3"/>
        <w:keepNext/>
        <w:keepLines/>
        <w:pageBreakBefore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3. 多年度春节模板构建</w:t>
      </w:r>
    </w:p>
    <w:p w14:paraId="69CD5BB9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对应_fit_thermal_upgrade。neutral为天气归一化电量；三年模板分别完成春节相位对齐、选择性平滑、节后对齐和五日尺度归一化，再等权汇总。</w:t>
      </w:r>
    </w:p>
    <w:p w14:paraId="6145148B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recent = neutral[-CNY_SCALE_DAYS:].mean(axis=0)</w:t>
      </w:r>
    </w:p>
    <w:p w14:paraId="3CDC4D1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phase = int((start - CNY_DATES[start.year]).days)</w:t>
      </w:r>
    </w:p>
    <w:p w14:paraId="4595B8C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ratios = []</w:t>
      </w:r>
    </w:p>
    <w:p w14:paraId="66B4280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positions = {pd.Timestamp(date): i for i, date in enumerate(dates)}</w:t>
      </w:r>
    </w:p>
    <w:p w14:paraId="27703A8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for year in source_years:</w:t>
      </w:r>
    </w:p>
    <w:p w14:paraId="28EAB0B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source = positions[CNY_DATES[year] + pd.Timedelta(days=phase)]</w:t>
      </w:r>
    </w:p>
    <w:p w14:paraId="28258A4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source &lt; CNY_SCALE_DAYS or source + PRED_LEN &gt; len(dates):</w:t>
      </w:r>
    </w:p>
    <w:p w14:paraId="29F1ABF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raise ValueError(</w:t>
      </w:r>
    </w:p>
    <w:p w14:paraId="5AB33DA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    "industry CNY source crosses historical boundary"</w:t>
      </w:r>
    </w:p>
    <w:p w14:paraId="3ED28E0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)</w:t>
      </w:r>
    </w:p>
    <w:p w14:paraId="4A0FC8C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level = neutral[source-CNY_SCALE_DAYS:source].mean(axis=0)</w:t>
      </w:r>
    </w:p>
    <w:p w14:paraId="53BF2A9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indices = np.arange(source, source+PRED_LEN)</w:t>
      </w:r>
    </w:p>
    <w:p w14:paraId="6003804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 = neutral[indices].copy()</w:t>
      </w:r>
    </w:p>
    <w:p w14:paraId="7649287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phases = np.arange(phase, phase+PRED_LEN)</w:t>
      </w:r>
    </w:p>
    <w:p w14:paraId="723F234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outside = ((phases &lt; CNY_SMOOTH_EXCLUDE_PHASES[0]) |</w:t>
      </w:r>
    </w:p>
    <w:p w14:paraId="357A09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       (phases &gt; CNY_SMOOTH_EXCLUDE_PHASES[1]))</w:t>
      </w:r>
    </w:p>
    <w:p w14:paraId="5324BDB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smoothed = _smooth_historical_curve(neutral, indices)</w:t>
      </w:r>
    </w:p>
    <w:p w14:paraId="24F0905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values[outside] = smoothed[outside]</w:t>
      </w:r>
    </w:p>
    <w:p w14:paraId="07083D1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Blend lunar alignment with alignment to the first day after the</w:t>
      </w:r>
    </w:p>
    <w:p w14:paraId="0C572C7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statutory CNY holiday. Only phases +7 onward receive this</w:t>
      </w:r>
    </w:p>
    <w:p w14:paraId="7E5DD36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adjustment.</w:t>
      </w:r>
    </w:p>
    <w:p w14:paraId="304CEC3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shift = _cny_return_phase(year) - _cny_return_phase(start.year)</w:t>
      </w:r>
    </w:p>
    <w:p w14:paraId="04C15EF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moved = _smooth_historical_curve(neutral, indices+shift)</w:t>
      </w:r>
    </w:p>
    <w:p w14:paraId="01772C0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gate = np.clip((phases-6)/3, 0, 1) * CNY_RETURN_WARP</w:t>
      </w:r>
    </w:p>
    <w:p w14:paraId="038366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 = (1-gate[:, None, None])*values + gate[:, None, None]*moved</w:t>
      </w:r>
    </w:p>
    <w:p w14:paraId="0EB5B2E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ratio = values / np.maximum(level, 1e-9)</w:t>
      </w:r>
    </w:p>
    <w:p w14:paraId="77277A4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ratios.append(np.where(level[None] &gt; 1e-8, ratio, 1.0))</w:t>
      </w:r>
    </w:p>
    <w:p w14:paraId="60E54D58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neutral_forecast = np.mean(ratios, axis=0) * recent</w:t>
      </w:r>
    </w:p>
    <w:p w14:paraId="71AA8421">
      <w:pPr>
        <w:pStyle w:val="Heading3"/>
        <w:keepNext/>
        <w:keepLines/>
        <w:pageBreakBefore/>
        <w:widowControl/>
        <w:spacing w:before="160" w:after="100" w:line="288" w:lineRule="auto"/>
        <w:ind w:firstLine="0" w:left="0" w:right="0"/>
      </w:pPr>
      <w:r>
        <w:rPr>
          <w:rFonts w:ascii="宋体" w:hAnsi="宋体" w:eastAsia="宋体"/>
          <w:b/>
          <w:color w:val="000000"/>
          <w:sz w:val="24"/>
        </w:rPr>
        <w:t>4. 未来温度恢复与最终融合</w:t>
      </w:r>
    </w:p>
    <w:p w14:paraId="063800AD">
      <w:pPr>
        <w:keepNext/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分别对应_thermal_template和_predict_pooled。先将七个电量通道恢复未来温度影响，再按0.5融合总量与分项汇总，最后与Ridge按0.85和0.15融合并裁剪。</w:t>
      </w:r>
    </w:p>
    <w:p w14:paraId="624F853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# Fragment from _thermal_template</w:t>
      </w:r>
    </w:p>
    <w:p w14:paraId="2DB17C0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effective = _thermal_effective_temperature(</w:t>
      </w:r>
    </w:p>
    <w:p w14:paraId="71B39E1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np.concatenate([tail, temp]), float(data["thermal_memory"])</w:t>
      </w:r>
    </w:p>
    <w:p w14:paraId="2B32C09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)[2:]</w:t>
      </w:r>
    </w:p>
    <w:p w14:paraId="74D68B0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response = np.exp(float(data["thermal_gamma"]) * np.einsum(</w:t>
      </w:r>
    </w:p>
    <w:p w14:paraId="7FB55C1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"dcf,cfj-&gt;dcj", _thermal_features(effective),</w:t>
      </w:r>
    </w:p>
    <w:p w14:paraId="6850ECB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np.asarray(data["thermal_coefficients"], np.float64)</w:t>
      </w:r>
    </w:p>
    <w:p w14:paraId="042B0AD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87FF6D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components = (</w:t>
      </w:r>
    </w:p>
    <w:p w14:paraId="5488097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np.asarray(data["thermal_neutral_forecast"], np.float64)</w:t>
      </w:r>
    </w:p>
    <w:p w14:paraId="0F960B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* response</w:t>
      </w:r>
    </w:p>
    <w:p w14:paraId="5502F5F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4ED678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rho = float(data["thermal_industry_weight"])</w:t>
      </w:r>
    </w:p>
    <w:p w14:paraId="1C5E4C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return np.maximum(</w:t>
      </w:r>
    </w:p>
    <w:p w14:paraId="3404E99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0.0, (1-rho)*components[:, :, 0]</w:t>
      </w:r>
    </w:p>
    <w:p w14:paraId="79D754D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+ rho*components[:, :, 1:].sum(axis=2)</w:t>
      </w:r>
    </w:p>
    <w:p w14:paraId="601BE07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BF90AB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</w:p>
    <w:p w14:paraId="471401F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# Separate fragment from _predict_pooled</w:t>
      </w:r>
    </w:p>
    <w:p w14:paraId="43D012B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if CNY_BLEND_START &lt;= date &lt;= CNY_BLEND_END:</w:t>
      </w:r>
    </w:p>
    <w:p w14:paraId="1CAD5C7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prediction = float(</w:t>
      </w:r>
    </w:p>
    <w:p w14:paraId="4A29077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(1.0 - template_weight) * ridge_prediction</w:t>
      </w:r>
    </w:p>
    <w:p w14:paraId="6CF2F61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+ template_weight * template[city_index, horizon]</w:t>
      </w:r>
    </w:p>
    <w:p w14:paraId="2B0566A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</w:t>
      </w:r>
    </w:p>
    <w:p w14:paraId="500BD86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else:</w:t>
      </w:r>
    </w:p>
    <w:p w14:paraId="14A57EE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prediction = ridge_prediction</w:t>
      </w:r>
    </w:p>
    <w:p w14:paraId="205C6EE4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prediction = float(np.clip(prediction, 0.0, city_upper[city_index]))</w:t>
      </w:r>
    </w:p>
    <w:p w14:paraId="37B3B7D5">
      <w:pPr>
        <w:pStyle w:val="Heading2"/>
        <w:keepNext/>
        <w:keepLines/>
        <w:pageBreakBefore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（三）复现说明</w:t>
      </w:r>
    </w:p>
    <w:p w14:paraId="08BA2E09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数据目录通过CITY_DATA_ROOT指定，模型目录和输出目录分别通过MODEL_DIR与OUTPUT_DIR配置。train_city_model读取历史电量及气象并保存模型；predict_city_model恢复历史状态，读取未来预报并生成结果。节假日日历覆盖2023至2026年，程序使用源文件末尾定义的训练与推理入口。</w:t>
      </w:r>
    </w:p>
    <w:p w14:paraId="2177ABD3">
      <w:pPr>
        <w:widowControl/>
        <w:spacing w:before="0" w:after="80" w:line="324" w:lineRule="auto"/>
        <w:ind w:firstLine="480" w:left="0" w:right="0"/>
        <w:jc w:val="both"/>
        <w:rPr>
          <w:sz w:val="28"/>
          <w:szCs w:val="22"/>
        </w:rPr>
      </w:pPr>
      <w:r>
        <w:rPr>
          <w:rFonts w:ascii="宋体" w:hAnsi="宋体" w:eastAsia="宋体"/>
          <w:b w:val="0"/>
          <w:color w:val="000000"/>
          <w:sz w:val="24"/>
          <w:szCs w:val="22"/>
        </w:rPr>
        <w:t>模型清单包含训练结束日期、预测起点、模板年份、融合权重及代码和输入数据的SHA-256，作为实现与模型产物的版本关联依据。 历史回测由city_backtest_2025/run_backtest.py执行，日期截断、模板年份和模块开关在回测适配层配置；结果文件包括ablation_results.csv、weight_sensitivity.csv、city_comparison_metrics.csv和daily_predictions.csv。评分与覆盖检查见validation_checks.json，运行参数及版本记录见run_manifest.json。［5］</w:t>
      </w:r>
    </w:p>
    <w:p w14:paraId="7CCED082">
      <w:pPr>
        <w:pStyle w:val="Heading2"/>
        <w:keepNext/>
        <w:keepLines/>
        <w:widowControl/>
        <w:spacing w:before="200" w:after="120" w:line="288" w:lineRule="auto"/>
        <w:ind w:firstLine="0" w:left="0" w:right="0"/>
        <w:outlineLvl w:val="1"/>
        <w:rPr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（四）参考资料</w:t>
      </w:r>
    </w:p>
    <w:p w14:paraId="632056CE">
      <w:pPr>
        <w:widowControl/>
        <w:spacing w:line="288" w:lineRule="auto" w:before="0" w:after="80"/>
        <w:ind w:firstLine="0" w:left="0" w:right="0"/>
        <w:jc w:val="both"/>
      </w:pPr>
      <w:r>
        <w:rPr>
          <w:rFonts w:ascii="宋体" w:hAnsi="宋体" w:eastAsia="宋体"/>
          <w:b w:val="0"/>
          <w:color w:val="000000"/>
          <w:sz w:val="21"/>
          <w:szCs w:val="28"/>
        </w:rPr>
        <w:t>［1］电量预测赛道—赛题解读及评审规则说明0821，2026年8月，第4、6、14—15页。</w:t>
      </w:r>
    </w:p>
    <w:p w14:paraId="67CF7785">
      <w:pPr>
        <w:widowControl/>
        <w:spacing w:line="288" w:lineRule="auto" w:before="0" w:after="80"/>
        <w:ind w:firstLine="0" w:left="0" w:right="0"/>
        <w:jc w:val="both"/>
      </w:pPr>
      <w:r>
        <w:rPr>
          <w:rFonts w:ascii="宋体" w:hAnsi="宋体" w:eastAsia="宋体"/>
          <w:b w:val="0"/>
          <w:color w:val="000000"/>
          <w:sz w:val="21"/>
          <w:szCs w:val="28"/>
        </w:rPr>
        <w:t>［2］新型电力系统下电能量预测算法开发赛道—Baseline平台操作演练培训0824-0704，2026年8月，第5、9—12、18—19页。</w:t>
      </w:r>
    </w:p>
    <w:p w14:paraId="724896F3">
      <w:pPr>
        <w:widowControl/>
        <w:spacing w:line="288" w:lineRule="auto" w:before="0" w:after="80"/>
        <w:ind w:firstLine="0" w:left="0" w:right="0"/>
        <w:jc w:val="both"/>
      </w:pPr>
      <w:r>
        <w:rPr>
          <w:rFonts w:ascii="宋体" w:hAnsi="宋体" w:eastAsia="宋体"/>
          <w:b w:val="0"/>
          <w:color w:val="000000"/>
          <w:sz w:val="21"/>
          <w:szCs w:val="28"/>
        </w:rPr>
        <w:t>［3］city_pipeline.py，温度修正春节模板与Ridge融合实现，重点参见多步回归、行业温度响应、春节模板及最终训练推理入口。</w:t>
      </w:r>
    </w:p>
    <w:p w14:paraId="2DB76ECE">
      <w:pPr>
        <w:widowControl/>
        <w:spacing w:line="288" w:lineRule="auto" w:before="0" w:after="80"/>
        <w:ind w:firstLine="0" w:left="0" w:right="0"/>
        <w:jc w:val="both"/>
      </w:pPr>
      <w:r>
        <w:rPr>
          <w:rFonts w:ascii="宋体" w:hAnsi="宋体" w:eastAsia="宋体"/>
          <w:b w:val="0"/>
          <w:color w:val="000000"/>
          <w:sz w:val="21"/>
          <w:szCs w:val="28"/>
        </w:rPr>
        <w:t>［4］新型电力系统下电能量预测算法开发赛道—赛题数据说明，2026年8月，任务一电量行业分类及气象字段说明。</w:t>
      </w:r>
    </w:p>
    <w:bookmarkEnd w:id="4"/>
    <w:p>
      <w:pPr>
        <w:widowControl/>
        <w:spacing w:before="0" w:after="80" w:line="288" w:lineRule="auto"/>
        <w:ind w:firstLine="0" w:left="0" w:right="0"/>
        <w:jc w:val="both"/>
      </w:pPr>
      <w:r>
        <w:rPr>
          <w:rFonts w:ascii="宋体" w:hAnsi="宋体" w:eastAsia="宋体"/>
          <w:b w:val="0"/>
          <w:color w:val="000000"/>
          <w:sz w:val="21"/>
        </w:rPr>
        <w:t>［5］2025年春节相位历史回测代码及结果，city_backtest_2025/run_backtest.py与results目录，2026年9月18日。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F041C"/>
    <w:rsid w:val="10482BD9"/>
    <w:rsid w:val="11413FB6"/>
    <w:rsid w:val="1C771667"/>
    <w:rsid w:val="39BA7DF4"/>
    <w:rsid w:val="5A1C2939"/>
    <w:rsid w:val="67FA078A"/>
    <w:rsid w:val="7156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firstLine="880" w:firstLineChars="200"/>
      <w:jc w:val="both"/>
    </w:pPr>
    <w:rPr>
      <w:rFonts w:ascii="宋体" w:hAnsi="宋体" w:eastAsia="宋体" w:cstheme="minorBidi"/>
      <w:color w:val="000000"/>
      <w:sz w:val="24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0"/>
      </w:numPr>
      <w:spacing w:line="560" w:lineRule="exact"/>
      <w:ind w:firstLine="880" w:firstLineChars="200"/>
      <w:outlineLvl w:val="0"/>
    </w:pPr>
    <w:rPr>
      <w:rFonts w:ascii="宋体" w:hAnsi="宋体" w:eastAsia="宋体" w:cstheme="majorBidi"/>
      <w:b/>
      <w:bCs/>
      <w:color w:val="000000"/>
      <w:sz w:val="32"/>
      <w:szCs w:val="32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bidi w:val="0"/>
      <w:spacing w:line="560" w:lineRule="exact"/>
      <w:ind w:firstLine="880" w:firstLineChars="200"/>
      <w:jc w:val="both"/>
    </w:pPr>
    <w:rPr>
      <w:rFonts w:ascii="仿宋_GB2312" w:hAnsi="仿宋_GB2312" w:eastAsia="仿宋_GB2312" w:cs="Times New Roman"/>
      <w:sz w:val="32"/>
      <w:szCs w:val="32"/>
    </w:rPr>
  </w:style>
  <w:style w:type="paragraph" w:styleId="4">
    <w:name w:val="Title"/>
    <w:next w:val="3"/>
    <w:qFormat/>
    <w:uiPriority w:val="10"/>
    <w:pPr>
      <w:spacing w:line="560" w:lineRule="exact"/>
      <w:contextualSpacing/>
      <w:jc w:val="center"/>
    </w:pPr>
    <w:rPr>
      <w:rFonts w:ascii="宋体" w:hAnsi="宋体" w:eastAsia="宋体" w:cstheme="majorBidi"/>
      <w:color w:val="000000"/>
      <w:sz w:val="44"/>
      <w:szCs w:val="56"/>
    </w:rPr>
  </w:style>
  <w:style w:type="paragraph" w:customStyle="1" w:styleId="Heading2">
    <w:name w:val="heading 2"/>
    <w:basedOn w:val="1"/>
    <w:rPr>
      <w:rFonts w:ascii="宋体" w:hAnsi="宋体" w:eastAsia="宋体"/>
      <w:color w:val="000000"/>
      <w:sz w:val="28"/>
    </w:rPr>
  </w:style>
  <w:style w:type="paragraph" w:customStyle="1" w:styleId="Heading3">
    <w:name w:val="heading 3"/>
    <w:basedOn w:val="1"/>
    <w:rPr>
      <w:rFonts w:ascii="宋体" w:hAnsi="宋体" w:eastAsia="宋体"/>
      <w:color w:val="000000"/>
      <w:sz w:val="24"/>
    </w:rPr>
  </w:style>
  <w:style w:type="paragraph" w:customStyle="1" w:styleId="Caption">
    <w:name w:val="caption"/>
    <w:basedOn w:val="1"/>
    <w:rPr>
      <w:rFonts w:ascii="宋体" w:hAnsi="宋体" w:eastAsia="宋体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3532</Words>
  <Characters>4130</Characters>
  <Lines>0</Lines>
  <Paragraphs>0</Paragraphs>
  <TotalTime>10</TotalTime>
  <ScaleCrop>false</ScaleCrop>
  <LinksUpToDate>false</LinksUpToDate>
  <CharactersWithSpaces>4154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2026-09-11T06:49:00Z</dcterms:created>
  <dc:creator>ymh</dc:creator>
  <cp:lastModifiedBy>zero</cp:lastModifiedBy>
  <dcterms:modified xsi:type="dcterms:W3CDTF">2026-09-18T15:18:46Z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eyJoZGlkIjoiOTlhM2NmNzJlM2Y0NWZjYTkzNDQwZTU1NTdmOWVkMTgiLCJ1c2VySWQiOiIxMDQ3NDg3ODEzIn0=</vt:lpwstr>
  </property>
  <property fmtid="{D5CDD505-2E9C-101B-9397-08002B2CF9AE}" pid="4" name="ICV">
    <vt:lpwstr>EF5A14F9F6FD4843AD2B98D410088F46_12</vt:lpwstr>
  </property>
</Properties>
</file>