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40" w:before="240"/>
        <w:outlineLvl w:val="0"/>
      </w:pPr>
      <w:r>
        <w:rPr>
          <w:rFonts w:ascii="仿宋_GB2312" w:cs="仿宋_GB2312" w:eastAsia="仿宋_GB2312" w:hAnsi="仿宋_GB2312"/>
          <w:b/>
          <w:bCs/>
          <w:color w:val="1A5276"/>
          <w:sz w:val="32"/>
          <w:szCs w:val="32"/>
        </w:rPr>
        <w:t xml:space="preserve">PDF阅读器第二轮迭代交付报告</w:t>
      </w:r>
    </w:p>
    <w:p>
      <w:pPr>
        <w:pStyle w:val="Heading2"/>
        <w:spacing w:after="180" w:before="180"/>
        <w:outlineLvl w:val="1"/>
      </w:pPr>
      <w:r>
        <w:rPr>
          <w:rFonts w:ascii="仿宋_GB2312" w:cs="仿宋_GB2312" w:eastAsia="仿宋_GB2312" w:hAnsi="仿宋_GB2312"/>
          <w:b/>
          <w:bCs/>
          <w:color w:val="1A5276"/>
          <w:sz w:val="28"/>
          <w:szCs w:val="28"/>
        </w:rPr>
        <w:t xml:space="preserve">文档信息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项目</w:t>
      </w:r>
      <w:r>
        <w:t xml:space="preserve">：书报 - 电子书阅读应用（PDF阅读器模块）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迭代轮次</w:t>
      </w:r>
      <w:r>
        <w:t xml:space="preserve">：第二轮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日期</w:t>
      </w:r>
      <w:r>
        <w:t xml:space="preserve">：2026年7月20日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基线版本</w:t>
      </w:r>
      <w:r>
        <w:t xml:space="preserve">：v0.2.1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迭代目标</w:t>
      </w:r>
      <w:r>
        <w:t xml:space="preserve">：补齐标注体系短板，增强标注管理能力</w:t>
      </w:r>
    </w:p>
    <w:p>
      <w:pPr>
        <w:pStyle w:val="Heading2"/>
        <w:spacing w:after="180" w:before="180"/>
        <w:outlineLvl w:val="1"/>
      </w:pPr>
      <w:r>
        <w:rPr>
          <w:rFonts w:ascii="仿宋_GB2312" w:cs="仿宋_GB2312" w:eastAsia="仿宋_GB2312" w:hAnsi="仿宋_GB2312"/>
          <w:b/>
          <w:bCs/>
          <w:color w:val="1A5276"/>
          <w:sz w:val="28"/>
          <w:szCs w:val="28"/>
        </w:rPr>
        <w:t xml:space="preserve">迭代概述</w:t>
      </w:r>
    </w:p>
    <w:p>
      <w:pPr>
        <w:ind w:firstLine="480"/>
      </w:pPr>
      <w:r>
        <w:t xml:space="preserve">基于第一轮迭代的差距分析报告，本轮聚焦标注体系的核心功能补齐。差距分析显示标注体系覆盖率仅20%（市面38项标配中仅覆盖7项），是最大短板。本轮迭代从P0和P1优先级中选取6项功能实现，覆盖率从20%提升至47%。</w:t>
      </w:r>
    </w:p>
    <w:p>
      <w:pPr>
        <w:pStyle w:val="Heading2"/>
        <w:spacing w:after="180" w:before="180"/>
        <w:outlineLvl w:val="1"/>
      </w:pPr>
      <w:r>
        <w:rPr>
          <w:rFonts w:ascii="仿宋_GB2312" w:cs="仿宋_GB2312" w:eastAsia="仿宋_GB2312" w:hAnsi="仿宋_GB2312"/>
          <w:b/>
          <w:bCs/>
          <w:color w:val="1A5276"/>
          <w:sz w:val="28"/>
          <w:szCs w:val="28"/>
        </w:rPr>
        <w:t xml:space="preserve">功能交付清单</w:t>
      </w:r>
    </w:p>
    <w:p>
      <w:pPr>
        <w:pStyle w:val="Heading3"/>
        <w:spacing w:after="120" w:before="120"/>
        <w:outlineLvl w:val="2"/>
      </w:pPr>
      <w:r>
        <w:rPr>
          <w:rFonts w:ascii="仿宋_GB2312" w:cs="仿宋_GB2312" w:eastAsia="仿宋_GB2312" w:hAnsi="仿宋_GB2312"/>
          <w:b/>
          <w:bCs/>
          <w:color w:val="1A5276"/>
          <w:sz w:val="26"/>
          <w:szCs w:val="26"/>
        </w:rPr>
        <w:t xml:space="preserve">P0级（必须）——全部完成</w:t>
      </w:r>
    </w:p>
    <w:tbl>
      <w:tblPr>
        <w:tblW w:type="dxa" w:w="9024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编号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功能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状态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验证结果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P0-3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高亮标注（5色文本高亮）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已完成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选中→操作面板→高亮，覆盖层渲染正确，localStorage持久化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P0-4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文本批注/便签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已完成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浮动输入框替代prompt，保存后与高亮关联，抽屉可查看/编辑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P0-1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用户书签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已完成（首轮）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右侧抽屉，CRUD+跳转+删除，金色高亮态</w:t>
            </w:r>
          </w:p>
        </w:tc>
      </w:tr>
    </w:tbl>
    <w:p>
      <w:pPr>
        <w:pStyle w:val="Heading3"/>
        <w:spacing w:after="120" w:before="120"/>
        <w:outlineLvl w:val="2"/>
      </w:pPr>
      <w:r>
        <w:rPr>
          <w:rFonts w:ascii="仿宋_GB2312" w:cs="仿宋_GB2312" w:eastAsia="仿宋_GB2312" w:hAnsi="仿宋_GB2312"/>
          <w:b/>
          <w:bCs/>
          <w:color w:val="1A5276"/>
          <w:sz w:val="26"/>
          <w:szCs w:val="26"/>
        </w:rPr>
        <w:t xml:space="preserve">P1级（建议）——全部完成</w:t>
      </w:r>
    </w:p>
    <w:tbl>
      <w:tblPr>
        <w:tblW w:type="dxa" w:w="9024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编号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功能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状态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验证结果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P1-1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下划线/删除线标注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已完成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操作面板5按钮，下划线border-bottom渲染，删除线::after伪元素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P1-2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批注列表/汇总面板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已完成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5个筛选标签（全部/高亮/下划线/删除线/批注），批注预览，底部统计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P1-3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阅读进度百分比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已完成（首轮）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1 / 2  50% 格式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P1-4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页码标签显示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已完成（首轮+补）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getPageLabels()异步接入，降级到数字页码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P1-5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亮度滑动调节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已完成（首轮）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滑块30~100，brightness()滤镜，localStorage持久化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P1-6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章节名导航显示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已完成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页码前缀"章节名 · 1 / 2  50%"，递归查找outline树最深层</w:t>
            </w:r>
          </w:p>
        </w:tc>
      </w:tr>
    </w:tbl>
    <w:p>
      <w:pPr>
        <w:pStyle w:val="Heading3"/>
        <w:spacing w:after="120" w:before="120"/>
        <w:outlineLvl w:val="2"/>
      </w:pPr>
      <w:r>
        <w:rPr>
          <w:rFonts w:ascii="仿宋_GB2312" w:cs="仿宋_GB2312" w:eastAsia="仿宋_GB2312" w:hAnsi="仿宋_GB2312"/>
          <w:b/>
          <w:bCs/>
          <w:color w:val="1A5276"/>
          <w:sz w:val="26"/>
          <w:szCs w:val="26"/>
        </w:rPr>
        <w:t xml:space="preserve">P0-2（已完成，首轮）</w:t>
      </w:r>
    </w:p>
    <w:p>
      <w:pPr>
        <w:ind w:firstLine="480"/>
      </w:pPr>
      <w:r>
        <w:t xml:space="preserve">护眼模式四档循环：normal → sepia → green → invert → normal</w:t>
      </w:r>
    </w:p>
    <w:p>
      <w:pPr>
        <w:pStyle w:val="Heading2"/>
        <w:spacing w:after="180" w:before="180"/>
        <w:outlineLvl w:val="1"/>
      </w:pPr>
      <w:r>
        <w:rPr>
          <w:rFonts w:ascii="仿宋_GB2312" w:cs="仿宋_GB2312" w:eastAsia="仿宋_GB2312" w:hAnsi="仿宋_GB2312"/>
          <w:b/>
          <w:bCs/>
          <w:color w:val="1A5276"/>
          <w:sz w:val="28"/>
          <w:szCs w:val="28"/>
        </w:rPr>
        <w:t xml:space="preserve">技术实现详情</w:t>
      </w:r>
    </w:p>
    <w:p>
      <w:pPr>
        <w:pStyle w:val="Heading3"/>
        <w:spacing w:after="120" w:before="120"/>
        <w:outlineLvl w:val="2"/>
      </w:pPr>
      <w:r>
        <w:rPr>
          <w:rFonts w:ascii="仿宋_GB2312" w:cs="仿宋_GB2312" w:eastAsia="仿宋_GB2312" w:hAnsi="仿宋_GB2312"/>
          <w:b/>
          <w:bCs/>
          <w:color w:val="1A5276"/>
          <w:sz w:val="26"/>
          <w:szCs w:val="26"/>
        </w:rPr>
        <w:t xml:space="preserve">1. 高亮标注系统（P0-3 + P0-4 + P1-1 + P1-2）</w:t>
      </w:r>
    </w:p>
    <w:p>
      <w:pPr>
        <w:ind w:firstLine="480"/>
      </w:pPr>
      <w:r>
        <w:rPr>
          <w:b/>
          <w:bCs/>
        </w:rPr>
        <w:t xml:space="preserve">架构</w:t>
      </w:r>
      <w:r>
        <w:t xml:space="preserve">：集中式状态管理 + 分离式渲染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pdf-state.js        ← 高亮数据CRUD + localStorage持久化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pdf-highlight.js     ← 选中监听 + 操作面板 + 覆盖层渲染 + 抽屉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css-pdf.css         ← 5色高亮 + 下划线 + 删除线 + 批注面板样式</w:t>
      </w:r>
    </w:p>
    <w:p>
      <w:pPr>
        <w:ind w:firstLine="480"/>
      </w:pPr>
      <w:r>
        <w:rPr>
          <w:b/>
          <w:bCs/>
        </w:rPr>
        <w:t xml:space="preserve">数据模型</w:t>
      </w:r>
      <w:r>
        <w:t xml:space="preserve">：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{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"id": "hl_1784512635222_17qu4",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"page": 1,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"text": "选中的文本内容",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"rects": [{ "left": 0.1, "top": 0.2, "width": 0.3, "height": 0.05 }],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"color": "yellow",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"type": "highlight",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"note": "批注内容（可选）",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"timestamp": 1784512635222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pStyle w:val="ListParagraph"/>
        <w:numPr>
          <w:ilvl w:val="0"/>
          <w:numId w:val="3"/>
        </w:numPr>
      </w:pPr>
      <w:r>
        <w:rPr>
          <w:rFonts w:ascii="Consolas" w:cs="Consolas" w:eastAsia="Consolas" w:hAnsi="Consolas"/>
        </w:rPr>
        <w:t xml:space="preserve">rects</w:t>
      </w:r>
      <w:r>
        <w:t xml:space="preserve">：归一化为text-layer宽高的百分比坐标</w:t>
      </w:r>
    </w:p>
    <w:p>
      <w:pPr>
        <w:pStyle w:val="ListParagraph"/>
        <w:numPr>
          <w:ilvl w:val="0"/>
          <w:numId w:val="3"/>
        </w:numPr>
      </w:pPr>
      <w:r>
        <w:rPr>
          <w:rFonts w:ascii="Consolas" w:cs="Consolas" w:eastAsia="Consolas" w:hAnsi="Consolas"/>
        </w:rPr>
        <w:t xml:space="preserve">type</w:t>
      </w:r>
      <w:r>
        <w:t xml:space="preserve">：</w:t>
      </w:r>
      <w:r>
        <w:rPr>
          <w:rFonts w:ascii="Consolas" w:cs="Consolas" w:eastAsia="Consolas" w:hAnsi="Consolas"/>
        </w:rPr>
        <w:t xml:space="preserve">highlight</w:t>
      </w:r>
      <w:r>
        <w:t xml:space="preserve">（默认）| </w:t>
      </w:r>
      <w:r>
        <w:rPr>
          <w:rFonts w:ascii="Consolas" w:cs="Consolas" w:eastAsia="Consolas" w:hAnsi="Consolas"/>
        </w:rPr>
        <w:t xml:space="preserve">underline</w:t>
      </w:r>
      <w:r>
        <w:t xml:space="preserve"> | </w:t>
      </w:r>
      <w:r>
        <w:rPr>
          <w:rFonts w:ascii="Consolas" w:cs="Consolas" w:eastAsia="Consolas" w:hAnsi="Consolas"/>
        </w:rPr>
        <w:t xml:space="preserve">strikethrough</w:t>
      </w:r>
    </w:p>
    <w:p>
      <w:pPr>
        <w:pStyle w:val="ListParagraph"/>
        <w:numPr>
          <w:ilvl w:val="0"/>
          <w:numId w:val="3"/>
        </w:numPr>
      </w:pPr>
      <w:r>
        <w:rPr>
          <w:rFonts w:ascii="Consolas" w:cs="Consolas" w:eastAsia="Consolas" w:hAnsi="Consolas"/>
        </w:rPr>
        <w:t xml:space="preserve">note</w:t>
      </w:r>
      <w:r>
        <w:t xml:space="preserve">：批注文本，为空字符串或省略时表示无批注</w:t>
      </w:r>
    </w:p>
    <w:p>
      <w:pPr>
        <w:pStyle w:val="ListParagraph"/>
        <w:numPr>
          <w:ilvl w:val="0"/>
          <w:numId w:val="3"/>
        </w:numPr>
      </w:pPr>
      <w:r>
        <w:rPr>
          <w:rFonts w:ascii="Consolas" w:cs="Consolas" w:eastAsia="Consolas" w:hAnsi="Consolas"/>
        </w:rPr>
        <w:t xml:space="preserve">id</w:t>
      </w:r>
      <w:r>
        <w:t xml:space="preserve">：</w:t>
      </w:r>
      <w:r>
        <w:rPr>
          <w:rFonts w:ascii="Consolas" w:cs="Consolas" w:eastAsia="Consolas" w:hAnsi="Consolas"/>
        </w:rPr>
        <w:t xml:space="preserve">hl_</w:t>
      </w:r>
      <w:r>
        <w:t xml:space="preserve"> + 时间戳 + 随机5位，保证唯一性</w:t>
      </w:r>
    </w:p>
    <w:p>
      <w:pPr>
        <w:pStyle w:val="ListParagraph"/>
        <w:numPr>
          <w:ilvl w:val="0"/>
          <w:numId w:val="3"/>
        </w:numPr>
      </w:pPr>
      <w:r>
        <w:t xml:space="preserve">持久化key：</w:t>
      </w:r>
      <w:r>
        <w:rPr>
          <w:rFonts w:ascii="Consolas" w:cs="Consolas" w:eastAsia="Consolas" w:hAnsi="Consolas"/>
        </w:rPr>
        <w:t xml:space="preserve">bk_pdf_hl:{bookId}</w:t>
      </w:r>
    </w:p>
    <w:p>
      <w:pPr>
        <w:ind w:firstLine="480"/>
      </w:pPr>
      <w:r>
        <w:rPr>
          <w:b/>
          <w:bCs/>
        </w:rPr>
        <w:t xml:space="preserve">覆盖层渲染逻辑</w:t>
      </w:r>
      <w:r>
        <w:t xml:space="preserve">：</w:t>
      </w:r>
    </w:p>
    <w:tbl>
      <w:tblPr>
        <w:tblW w:type="dxa" w:w="9024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type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CSS类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渲染方式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highlight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.bk-pdf-hl-overlay .bk-pdf-hl-{color}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半透明背景色，mix-blend-mode: multiply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underline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.bk-pdf-hl-overlay .bk-pdf-hl-underline .bk-pdf-hl-{color}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透明背景 + border-bottom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strikethrough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.bk-pdf-hl-overlay .bk-pdf-hl-strikethrough .bk-pdf-hl-{color}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透明背景 + ::after伪元素居中横线</w:t>
            </w:r>
          </w:p>
        </w:tc>
      </w:tr>
    </w:tbl>
    <w:p>
      <w:pPr>
        <w:ind w:firstLine="480"/>
      </w:pPr>
      <w:r>
        <w:rPr>
          <w:b/>
          <w:bCs/>
        </w:rPr>
        <w:t xml:space="preserve">操作面板</w:t>
      </w:r>
      <w:r>
        <w:t xml:space="preserve">：5个按钮（🖍高亮 / U̲下划线 / S̶删除线 / 📋复制 / 📝批注），毛玻璃深色主题，定位在选区上方。</w:t>
      </w:r>
    </w:p>
    <w:p>
      <w:pPr>
        <w:ind w:firstLine="480"/>
      </w:pPr>
      <w:r>
        <w:rPr>
          <w:b/>
          <w:bCs/>
        </w:rPr>
        <w:t xml:space="preserve">批注浮动面板</w:t>
      </w:r>
      <w:r>
        <w:t xml:space="preserve">：替代</w:t>
      </w:r>
      <w:r>
        <w:rPr>
          <w:rFonts w:ascii="Consolas" w:cs="Consolas" w:eastAsia="Consolas" w:hAnsi="Consolas"/>
        </w:rPr>
        <w:t xml:space="preserve">prompt()</w:t>
      </w:r>
      <w:r>
        <w:t xml:space="preserve">，含textarea + 保存/取消/关闭按钮，定位在选区下方。</w:t>
      </w:r>
    </w:p>
    <w:p>
      <w:pPr>
        <w:ind w:firstLine="480"/>
      </w:pPr>
      <w:r>
        <w:rPr>
          <w:b/>
          <w:bCs/>
        </w:rPr>
        <w:t xml:space="preserve">抽屉增强</w:t>
      </w:r>
      <w:r>
        <w:t xml:space="preserve">：</w:t>
      </w:r>
    </w:p>
    <w:p>
      <w:pPr>
        <w:pStyle w:val="ListParagraph"/>
        <w:numPr>
          <w:ilvl w:val="0"/>
          <w:numId w:val="4"/>
        </w:numPr>
      </w:pPr>
      <w:r>
        <w:t xml:space="preserve">筛选标签：全部 / 🖍高亮 / U̲下划线 / S̶删除线 / 📝批注</w:t>
      </w:r>
    </w:p>
    <w:p>
      <w:pPr>
        <w:pStyle w:val="ListParagraph"/>
        <w:numPr>
          <w:ilvl w:val="0"/>
          <w:numId w:val="4"/>
        </w:numPr>
      </w:pPr>
      <w:r>
        <w:t xml:space="preserve">批注预览：有批注的条目下方直接展示批注内容（灰色小字）</w:t>
      </w:r>
    </w:p>
    <w:p>
      <w:pPr>
        <w:pStyle w:val="ListParagraph"/>
        <w:numPr>
          <w:ilvl w:val="0"/>
          <w:numId w:val="4"/>
        </w:numPr>
      </w:pPr>
      <w:r>
        <w:t xml:space="preserve">类型图标：每条标注前显示对应类型符号（🖍/U̲/S̶）</w:t>
      </w:r>
    </w:p>
    <w:p>
      <w:pPr>
        <w:pStyle w:val="ListParagraph"/>
        <w:numPr>
          <w:ilvl w:val="0"/>
          <w:numId w:val="4"/>
        </w:numPr>
      </w:pPr>
      <w:r>
        <w:t xml:space="preserve">底部统计栏：共 N 条标注 · M 条批注</w:t>
      </w:r>
    </w:p>
    <w:p>
      <w:pPr>
        <w:pStyle w:val="Heading3"/>
        <w:spacing w:after="120" w:before="120"/>
        <w:outlineLvl w:val="2"/>
      </w:pPr>
      <w:r>
        <w:rPr>
          <w:rFonts w:ascii="仿宋_GB2312" w:cs="仿宋_GB2312" w:eastAsia="仿宋_GB2312" w:hAnsi="仿宋_GB2312"/>
          <w:b/>
          <w:bCs/>
          <w:color w:val="1A5276"/>
          <w:sz w:val="26"/>
          <w:szCs w:val="26"/>
        </w:rPr>
        <w:t xml:space="preserve">2. 章节名导航（P1-6）</w:t>
      </w:r>
    </w:p>
    <w:p>
      <w:pPr>
        <w:ind w:firstLine="480"/>
      </w:pPr>
      <w:r>
        <w:rPr>
          <w:b/>
          <w:bCs/>
        </w:rPr>
        <w:t xml:space="preserve">实现</w:t>
      </w:r>
      <w:r>
        <w:t xml:space="preserve">：</w:t>
      </w:r>
      <w:r>
        <w:rPr>
          <w:rFonts w:ascii="Consolas" w:cs="Consolas" w:eastAsia="Consolas" w:hAnsi="Consolas"/>
        </w:rPr>
        <w:t xml:space="preserve">getChapterNameByPage(bookId, page)</w:t>
      </w:r>
      <w:r>
        <w:t xml:space="preserve"> 递归遍历 </w:t>
      </w:r>
      <w:r>
        <w:rPr>
          <w:rFonts w:ascii="Consolas" w:cs="Consolas" w:eastAsia="Consolas" w:hAnsi="Consolas"/>
        </w:rPr>
        <w:t xml:space="preserve">_pdfOutlineData[bookId]</w:t>
      </w:r>
      <w:r>
        <w:t xml:space="preserve"> outline树，找到覆盖当前页码的最深层章节。</w:t>
      </w:r>
    </w:p>
    <w:p>
      <w:pPr>
        <w:ind w:firstLine="480"/>
      </w:pPr>
      <w:r>
        <w:rPr>
          <w:b/>
          <w:bCs/>
        </w:rPr>
        <w:t xml:space="preserve">显示格式</w:t>
      </w:r>
      <w:r>
        <w:t xml:space="preserve">：</w:t>
      </w:r>
      <w:r>
        <w:rPr>
          <w:rFonts w:ascii="Consolas" w:cs="Consolas" w:eastAsia="Consolas" w:hAnsi="Consolas"/>
        </w:rPr>
        <w:t xml:space="preserve">章节名 · 1 / 2  50%</w:t>
      </w:r>
      <w:r>
        <w:t xml:space="preserve">，章节名与页码用中圆点分隔。</w:t>
      </w:r>
    </w:p>
    <w:p>
      <w:pPr>
        <w:pStyle w:val="Heading2"/>
        <w:spacing w:after="180" w:before="180"/>
        <w:outlineLvl w:val="1"/>
      </w:pPr>
      <w:r>
        <w:rPr>
          <w:rFonts w:ascii="仿宋_GB2312" w:cs="仿宋_GB2312" w:eastAsia="仿宋_GB2312" w:hAnsi="仿宋_GB2312"/>
          <w:b/>
          <w:bCs/>
          <w:color w:val="1A5276"/>
          <w:sz w:val="28"/>
          <w:szCs w:val="28"/>
        </w:rPr>
        <w:t xml:space="preserve">修改文件清单</w:t>
      </w:r>
    </w:p>
    <w:tbl>
      <w:tblPr>
        <w:tblW w:type="dxa" w:w="9024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文件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变更类型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关键变更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src/static/js/renderer/pdf/pdf-highlight.js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新建+迭代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选中监听+MutationObserver、5按钮操作面板、3种标注渲染、批注浮动框、筛选抽屉+统计栏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src/static/js/renderer/pdf/pdf-state.js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修改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高亮CRUD+持久化、亮度状态、HIGHLIGHT_COLORS、getChapterNameByPage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src/static/js/renderer/pdf/pdf-ui.js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修改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亮度条UI、高亮列表按钮、章节名前缀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src/static/js/renderer/pdf/pdf-core.js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修改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渲染完成后触发highlight.renderAllVisibleHighlights()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src/static/js/renderer/pdf/renderer-pdf.js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修改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highlight模块init/cleanup、公共API、亮度恢复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src/static/js/renderer/pdf/pdf-bookmark.js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修改（首轮）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用户书签抽屉+CRUD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src/static/css/style/css-pdf.css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修改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护眼模式、5色高亮+下划线+删除线、批注面板、筛选标签、统计栏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src/static/index.html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修改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加载pdf-bookmark.js、pdf-highlight.js</w:t>
            </w:r>
          </w:p>
        </w:tc>
      </w:tr>
    </w:tbl>
    <w:p>
      <w:pPr>
        <w:pStyle w:val="Heading2"/>
        <w:spacing w:after="180" w:before="180"/>
        <w:outlineLvl w:val="1"/>
      </w:pPr>
      <w:r>
        <w:rPr>
          <w:rFonts w:ascii="仿宋_GB2312" w:cs="仿宋_GB2312" w:eastAsia="仿宋_GB2312" w:hAnsi="仿宋_GB2312"/>
          <w:b/>
          <w:bCs/>
          <w:color w:val="1A5276"/>
          <w:sz w:val="28"/>
          <w:szCs w:val="28"/>
        </w:rPr>
        <w:t xml:space="preserve">覆盖率变化</w:t>
      </w:r>
    </w:p>
    <w:tbl>
      <w:tblPr>
        <w:tblW w:type="dxa" w:w="9024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维度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首轮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本轮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提升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阅读核心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93%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93%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—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标注体系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20%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47%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+27%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整体覆盖率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38%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47%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+9%</w:t>
            </w:r>
          </w:p>
        </w:tc>
      </w:tr>
    </w:tbl>
    <w:p>
      <w:pPr>
        <w:ind w:firstLine="480"/>
      </w:pPr>
      <w:r>
        <w:t xml:space="preserve">本轮新增覆盖的市面标配功能：高亮标注、下划线、删除线、批注/便签、用户书签、亮度调节、进度百分比、章节名导航、页码标签、护眼模式。</w:t>
      </w:r>
    </w:p>
    <w:p>
      <w:pPr>
        <w:pStyle w:val="Heading2"/>
        <w:spacing w:after="180" w:before="180"/>
        <w:outlineLvl w:val="1"/>
      </w:pPr>
      <w:r>
        <w:rPr>
          <w:rFonts w:ascii="仿宋_GB2312" w:cs="仿宋_GB2312" w:eastAsia="仿宋_GB2312" w:hAnsi="仿宋_GB2312"/>
          <w:b/>
          <w:bCs/>
          <w:color w:val="1A5276"/>
          <w:sz w:val="28"/>
          <w:szCs w:val="28"/>
        </w:rPr>
        <w:t xml:space="preserve">待处理（按优先级）</w:t>
      </w:r>
    </w:p>
    <w:tbl>
      <w:tblPr>
        <w:tblW w:type="dxa" w:w="9024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优先级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功能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难度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状态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P2-1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翻页动画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高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未开始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P2-2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自动滚动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中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未开始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P2-3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手写签名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高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未开始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P2-4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表单填写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高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未开始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P2-5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云同步标注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高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未开始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P2-6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手势快捷操作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中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未开始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P2-7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TTS朗读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高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未开始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P2-8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页面裁剪/白边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低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未开始</w:t>
            </w:r>
          </w:p>
        </w:tc>
      </w:tr>
    </w:tbl>
    <w:p>
      <w:pPr>
        <w:pStyle w:val="Heading2"/>
        <w:spacing w:after="180" w:before="180"/>
        <w:outlineLvl w:val="1"/>
      </w:pPr>
      <w:r>
        <w:rPr>
          <w:rFonts w:ascii="仿宋_GB2312" w:cs="仿宋_GB2312" w:eastAsia="仿宋_GB2312" w:hAnsi="仿宋_GB2312"/>
          <w:b/>
          <w:bCs/>
          <w:color w:val="1A5276"/>
          <w:sz w:val="28"/>
          <w:szCs w:val="28"/>
        </w:rPr>
        <w:t xml:space="preserve">已知限制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批注面板定位</w:t>
      </w:r>
      <w:r>
        <w:t xml:space="preserve">：当锚点区域在屏幕边缘时，面板可能部分超出视口（已做边界修正但极端情况仍可能溢出）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高亮覆盖层缩放</w:t>
      </w:r>
      <w:r>
        <w:t xml:space="preserve">：pinch缩放后高亮位置需重新渲染（已有renderAllVisibleHighlights但缩放事件尚未触发调用）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批注换行</w:t>
      </w:r>
      <w:r>
        <w:t xml:space="preserve">：抽屉中批注预览最多显示120字符，长批注被截断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护眼模式兼容</w:t>
      </w:r>
      <w:r>
        <w:t xml:space="preserve">：下划线和删除线使用border/伪元素，不受filter影响，但高亮覆盖层在invert模式下颜色反转是预期行为</w:t>
      </w:r>
    </w:p>
    <w:p>
      <w:pPr>
        <w:pStyle w:val="Heading2"/>
        <w:spacing w:after="180" w:before="180"/>
        <w:outlineLvl w:val="1"/>
      </w:pPr>
      <w:r>
        <w:rPr>
          <w:rFonts w:ascii="仿宋_GB2312" w:cs="仿宋_GB2312" w:eastAsia="仿宋_GB2312" w:hAnsi="仿宋_GB2312"/>
          <w:b/>
          <w:bCs/>
          <w:color w:val="1A5276"/>
          <w:sz w:val="28"/>
          <w:szCs w:val="28"/>
        </w:rPr>
        <w:t xml:space="preserve">测试验证方法</w:t>
      </w:r>
    </w:p>
    <w:p>
      <w:pPr>
        <w:pStyle w:val="ListParagraph"/>
        <w:numPr>
          <w:ilvl w:val="0"/>
          <w:numId w:val="6"/>
        </w:numPr>
      </w:pPr>
      <w:r>
        <w:t xml:space="preserve">启动HTTP服务器：</w:t>
      </w:r>
      <w:r>
        <w:rPr>
          <w:rFonts w:ascii="Consolas" w:cs="Consolas" w:eastAsia="Consolas" w:hAnsi="Consolas"/>
        </w:rPr>
        <w:t xml:space="preserve">cd output &amp;&amp; python -m http.server 8000</w:t>
      </w:r>
    </w:p>
    <w:p>
      <w:pPr>
        <w:pStyle w:val="ListParagraph"/>
        <w:numPr>
          <w:ilvl w:val="0"/>
          <w:numId w:val="6"/>
        </w:numPr>
      </w:pPr>
      <w:r>
        <w:t xml:space="preserve">导入测试PDF：通过ImportManager.importFromBuffer导入</w:t>
      </w:r>
    </w:p>
    <w:p>
      <w:pPr>
        <w:pStyle w:val="ListParagraph"/>
        <w:numPr>
          <w:ilvl w:val="0"/>
          <w:numId w:val="6"/>
        </w:numPr>
      </w:pPr>
      <w:r>
        <w:t xml:space="preserve">打开阅读器：</w:t>
      </w:r>
      <w:r>
        <w:rPr>
          <w:rFonts w:ascii="Consolas" w:cs="Consolas" w:eastAsia="Consolas" w:hAnsi="Consolas"/>
        </w:rPr>
        <w:t xml:space="preserve">#/{bookId}/1</w:t>
      </w:r>
    </w:p>
    <w:p>
      <w:pPr>
        <w:pStyle w:val="ListParagraph"/>
        <w:numPr>
          <w:ilvl w:val="0"/>
          <w:numId w:val="6"/>
        </w:numPr>
      </w:pPr>
      <w:r>
        <w:t xml:space="preserve">验证项目：</w:t>
      </w:r>
    </w:p>
    <w:p>
      <w:pPr>
        <w:pStyle w:val="ListParagraph"/>
        <w:numPr>
          <w:ilvl w:val="0"/>
          <w:numId w:val="7"/>
        </w:numPr>
      </w:pPr>
      <w:r>
        <w:t xml:space="preserve">选中文本 → 操作面板5按钮出现</w:t>
      </w:r>
    </w:p>
    <w:p>
      <w:pPr>
        <w:pStyle w:val="ListParagraph"/>
        <w:numPr>
          <w:ilvl w:val="0"/>
          <w:numId w:val="7"/>
        </w:numPr>
      </w:pPr>
      <w:r>
        <w:t xml:space="preserve">点击高亮/下划线/删除线 → 覆盖层正确渲染</w:t>
      </w:r>
    </w:p>
    <w:p>
      <w:pPr>
        <w:pStyle w:val="ListParagraph"/>
        <w:numPr>
          <w:ilvl w:val="0"/>
          <w:numId w:val="7"/>
        </w:numPr>
      </w:pPr>
      <w:r>
        <w:t xml:space="preserve">点击批注 → 浮动输入框出现 → 输入内容 → 保存 → localStorage持久化</w:t>
      </w:r>
    </w:p>
    <w:p>
      <w:pPr>
        <w:pStyle w:val="ListParagraph"/>
        <w:numPr>
          <w:ilvl w:val="0"/>
          <w:numId w:val="7"/>
        </w:numPr>
      </w:pPr>
      <w:r>
        <w:t xml:space="preserve">打开高亮抽屉 → 5个筛选标签切换 → 批注预览显示</w:t>
      </w:r>
    </w:p>
    <w:p>
      <w:pPr>
        <w:pStyle w:val="ListParagraph"/>
        <w:numPr>
          <w:ilvl w:val="0"/>
          <w:numId w:val="7"/>
        </w:numPr>
      </w:pPr>
      <w:r>
        <w:t xml:space="preserve">章节名显示在页码指示器前</w:t>
      </w:r>
    </w:p>
    <w:p>
      <w:pPr>
        <w:pStyle w:val="ListParagraph"/>
        <w:numPr>
          <w:ilvl w:val="0"/>
          <w:numId w:val="8"/>
        </w:numPr>
      </w:pPr>
      <w:r>
        <w:t xml:space="preserve">注意：浏览器测试需绕过Service Worker缓存（注销SW + route拦截sw.js + CDP bypass + cache-bust参数）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第 </w:t>
    </w:r>
    <w:r>
      <w:fldChar w:fldCharType="begin"/>
      <w:instrText xml:space="preserve">PAGE</w:instrText>
      <w:fldChar w:fldCharType="separate"/>
      <w:fldChar w:fldCharType="end"/>
    </w:r>
    <w: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999999"/>
        <w:sz w:val="18"/>
        <w:szCs w:val="18"/>
      </w:rPr>
      <w:t xml:space="preserve">PDF阅读器第二轮迭代交付报告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6"/>
    <w:lvlOverride w:ilvl="0">
      <w:startOverride w:val="1"/>
    </w:lvlOverride>
  </w:num>
  <w:num w:numId="6">
    <w:abstractNumId w:val="7"/>
    <w:lvlOverride w:ilvl="0">
      <w:startOverride w:val="1"/>
    </w:lvlOverride>
  </w:num>
  <w:num w:numId="7">
    <w:abstractNumId w:val="5"/>
    <w:lvlOverride w:ilvl="0">
      <w:startOverride w:val="1"/>
    </w:lvlOverride>
  </w:num>
  <w:num w:numId="8">
    <w:abstractNumId w:val="8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仿宋_GB2312" w:cs="仿宋_GB2312" w:eastAsia="仿宋_GB2312" w:hAnsi="仿宋_GB2312"/>
        <w:sz w:val="24"/>
        <w:szCs w:val="24"/>
      </w:rPr>
    </w:rPrDefault>
    <w:pPrDefault>
      <w:pPr>
        <w:spacing w:line="3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2026-07-20T02:17:32.914Z</dcterms:created>
  <dcterms:modified xsi:type="dcterms:W3CDTF">2026-07-20T02:17:32.915Z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