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C9EC0">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71DD4001">
      <w:pPr>
        <w:jc w:val="center"/>
        <w:rPr>
          <w:rFonts w:asciiTheme="minorEastAsia" w:hAnsiTheme="minorEastAsia"/>
          <w:b/>
          <w:sz w:val="56"/>
        </w:rPr>
      </w:pPr>
    </w:p>
    <w:p w14:paraId="6C4AB8DF">
      <w:pPr>
        <w:jc w:val="center"/>
        <w:rPr>
          <w:rFonts w:asciiTheme="minorEastAsia" w:hAnsiTheme="minorEastAsia"/>
          <w:b/>
          <w:sz w:val="56"/>
        </w:rPr>
      </w:pPr>
    </w:p>
    <w:p w14:paraId="1FB3EEF9">
      <w:pPr>
        <w:jc w:val="center"/>
        <w:rPr>
          <w:rFonts w:hint="eastAsia" w:ascii="黑体" w:hAnsi="黑体" w:eastAsia="黑体" w:cs="黑体"/>
          <w:b/>
          <w:sz w:val="52"/>
          <w:szCs w:val="52"/>
        </w:rPr>
      </w:pPr>
      <w:r>
        <w:rPr>
          <w:rFonts w:hint="eastAsia" w:ascii="黑体" w:hAnsi="黑体" w:eastAsia="黑体" w:cs="黑体"/>
          <w:b/>
          <w:sz w:val="52"/>
          <w:szCs w:val="52"/>
        </w:rPr>
        <w:t>《</w:t>
      </w:r>
      <w:r>
        <w:rPr>
          <w:rFonts w:hint="eastAsia" w:asciiTheme="minorEastAsia" w:hAnsiTheme="minorEastAsia"/>
          <w:b/>
          <w:sz w:val="56"/>
        </w:rPr>
        <w:t>数据采集</w:t>
      </w:r>
      <w:r>
        <w:rPr>
          <w:rFonts w:hint="eastAsia" w:ascii="黑体" w:hAnsi="黑体" w:eastAsia="黑体" w:cs="黑体"/>
          <w:b/>
          <w:sz w:val="52"/>
          <w:szCs w:val="52"/>
        </w:rPr>
        <w:t>》课程标准</w:t>
      </w:r>
    </w:p>
    <w:p w14:paraId="584A3F55">
      <w:pPr>
        <w:jc w:val="center"/>
        <w:rPr>
          <w:rFonts w:asciiTheme="minorEastAsia" w:hAnsiTheme="minorEastAsia"/>
          <w:b/>
          <w:sz w:val="56"/>
        </w:rPr>
      </w:pPr>
    </w:p>
    <w:p w14:paraId="74CD2DC6">
      <w:pPr>
        <w:jc w:val="center"/>
        <w:rPr>
          <w:rFonts w:asciiTheme="minorEastAsia" w:hAnsiTheme="minorEastAsia"/>
          <w:b/>
          <w:sz w:val="56"/>
        </w:rPr>
      </w:pPr>
    </w:p>
    <w:p w14:paraId="5916778F">
      <w:pPr>
        <w:ind w:firstLine="2340" w:firstLineChars="650"/>
        <w:jc w:val="left"/>
        <w:rPr>
          <w:rFonts w:ascii="楷体" w:hAnsi="楷体" w:eastAsia="楷体"/>
          <w:sz w:val="36"/>
        </w:rPr>
      </w:pPr>
      <w:r>
        <w:rPr>
          <w:rFonts w:hint="eastAsia" w:ascii="楷体" w:hAnsi="楷体" w:eastAsia="楷体"/>
          <w:sz w:val="36"/>
        </w:rPr>
        <w:t>课程代码：</w:t>
      </w:r>
      <w:r>
        <w:rPr>
          <w:rFonts w:ascii="楷体" w:hAnsi="楷体" w:eastAsia="楷体"/>
          <w:sz w:val="36"/>
        </w:rPr>
        <w:tab/>
      </w:r>
      <w:r>
        <w:rPr>
          <w:rFonts w:hint="eastAsia" w:ascii="楷体" w:hAnsi="楷体" w:eastAsia="楷体"/>
          <w:sz w:val="36"/>
        </w:rPr>
        <w:t>0430060</w:t>
      </w:r>
      <w:bookmarkStart w:id="0" w:name="_GoBack"/>
      <w:bookmarkEnd w:id="0"/>
    </w:p>
    <w:p w14:paraId="2DFA41FB">
      <w:pPr>
        <w:ind w:firstLine="2340" w:firstLineChars="650"/>
        <w:jc w:val="left"/>
        <w:rPr>
          <w:rFonts w:ascii="楷体" w:hAnsi="楷体" w:eastAsia="楷体"/>
          <w:sz w:val="36"/>
        </w:rPr>
      </w:pPr>
      <w:r>
        <w:rPr>
          <w:rFonts w:hint="eastAsia" w:ascii="楷体" w:hAnsi="楷体" w:eastAsia="楷体"/>
          <w:sz w:val="36"/>
        </w:rPr>
        <w:t>课程性质：必修课</w:t>
      </w:r>
    </w:p>
    <w:p w14:paraId="1C81F935">
      <w:pPr>
        <w:jc w:val="left"/>
        <w:rPr>
          <w:rFonts w:hint="default" w:ascii="楷体" w:hAnsi="楷体" w:eastAsia="楷体"/>
          <w:sz w:val="36"/>
          <w:lang w:val="en-US" w:eastAsia="zh-CN"/>
        </w:rPr>
      </w:pPr>
      <w:r>
        <w:rPr>
          <w:rFonts w:hint="eastAsia" w:ascii="楷体" w:hAnsi="楷体" w:eastAsia="楷体"/>
          <w:sz w:val="36"/>
        </w:rPr>
        <w:t xml:space="preserve">             课程类别：</w:t>
      </w:r>
      <w:r>
        <w:rPr>
          <w:rFonts w:hint="eastAsia" w:ascii="楷体" w:hAnsi="楷体" w:eastAsia="楷体"/>
          <w:sz w:val="36"/>
          <w:lang w:val="en-US" w:eastAsia="zh-CN"/>
        </w:rPr>
        <w:t>工学一体化课程</w:t>
      </w:r>
    </w:p>
    <w:p w14:paraId="65B587A9">
      <w:pPr>
        <w:ind w:firstLine="2340" w:firstLineChars="650"/>
        <w:jc w:val="left"/>
        <w:rPr>
          <w:rFonts w:hint="eastAsia" w:ascii="楷体" w:hAnsi="楷体" w:eastAsia="楷体"/>
          <w:sz w:val="36"/>
        </w:rPr>
      </w:pPr>
      <w:r>
        <w:rPr>
          <w:rFonts w:hint="eastAsia" w:ascii="楷体" w:hAnsi="楷体" w:eastAsia="楷体"/>
          <w:sz w:val="36"/>
        </w:rPr>
        <w:t>适用对象：人工智能技术应用专业</w:t>
      </w:r>
    </w:p>
    <w:p w14:paraId="021E2222">
      <w:pPr>
        <w:ind w:firstLine="2340" w:firstLineChars="650"/>
        <w:jc w:val="left"/>
        <w:rPr>
          <w:rFonts w:hint="default" w:ascii="楷体" w:hAnsi="楷体" w:eastAsia="楷体"/>
          <w:sz w:val="36"/>
          <w:lang w:val="en-US" w:eastAsia="zh-CN"/>
        </w:rPr>
      </w:pPr>
      <w:r>
        <w:rPr>
          <w:rFonts w:hint="eastAsia" w:ascii="楷体" w:hAnsi="楷体" w:eastAsia="楷体"/>
          <w:sz w:val="36"/>
        </w:rPr>
        <w:t>所属培养层级</w:t>
      </w:r>
      <w:r>
        <w:rPr>
          <w:rFonts w:hint="eastAsia" w:ascii="楷体" w:hAnsi="楷体" w:eastAsia="楷体"/>
          <w:sz w:val="36"/>
          <w:lang w:eastAsia="zh-CN"/>
        </w:rPr>
        <w:t>：</w:t>
      </w:r>
      <w:r>
        <w:rPr>
          <w:rFonts w:hint="eastAsia" w:ascii="楷体" w:hAnsi="楷体" w:eastAsia="楷体"/>
          <w:sz w:val="36"/>
          <w:lang w:val="en-US" w:eastAsia="zh-CN"/>
        </w:rPr>
        <w:t>初中起五年高技</w:t>
      </w:r>
    </w:p>
    <w:p w14:paraId="69AF22F5">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108</w:t>
      </w:r>
    </w:p>
    <w:p w14:paraId="5B80E901">
      <w:pPr>
        <w:ind w:firstLine="2340" w:firstLineChars="650"/>
        <w:jc w:val="left"/>
        <w:rPr>
          <w:rFonts w:hint="eastAsia" w:ascii="楷体" w:hAnsi="楷体" w:eastAsia="楷体"/>
          <w:sz w:val="36"/>
          <w:lang w:val="en-US" w:eastAsia="zh-CN"/>
        </w:rPr>
      </w:pPr>
      <w:r>
        <w:rPr>
          <w:rFonts w:hint="eastAsia" w:ascii="楷体" w:hAnsi="楷体" w:eastAsia="楷体"/>
          <w:sz w:val="36"/>
          <w:lang w:val="en-US" w:eastAsia="zh-CN"/>
        </w:rPr>
        <w:t>制定人</w:t>
      </w:r>
      <w:r>
        <w:rPr>
          <w:rFonts w:hint="eastAsia" w:ascii="楷体" w:hAnsi="楷体" w:eastAsia="楷体"/>
          <w:sz w:val="36"/>
        </w:rPr>
        <w:t>：</w:t>
      </w:r>
    </w:p>
    <w:p w14:paraId="67285957">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642590F9">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7AA1D4D7">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0D8998AE">
      <w:pPr>
        <w:ind w:firstLine="2340" w:firstLineChars="650"/>
        <w:jc w:val="left"/>
        <w:rPr>
          <w:rFonts w:ascii="宋体" w:hAnsi="宋体" w:eastAsia="宋体"/>
          <w:b/>
          <w:bCs/>
          <w:sz w:val="32"/>
          <w:szCs w:val="32"/>
        </w:rPr>
      </w:pPr>
      <w:r>
        <w:rPr>
          <w:rFonts w:hint="eastAsia" w:ascii="楷体" w:hAnsi="楷体" w:eastAsia="楷体"/>
          <w:sz w:val="36"/>
        </w:rPr>
        <w:t>编订日期：20</w:t>
      </w:r>
      <w:r>
        <w:rPr>
          <w:rFonts w:hint="eastAsia" w:ascii="楷体" w:hAnsi="楷体" w:eastAsia="楷体"/>
          <w:sz w:val="36"/>
          <w:lang w:val="en-US" w:eastAsia="zh-CN"/>
        </w:rPr>
        <w:t>24</w:t>
      </w:r>
      <w:r>
        <w:rPr>
          <w:rFonts w:hint="eastAsia" w:ascii="楷体" w:hAnsi="楷体" w:eastAsia="楷体"/>
          <w:sz w:val="36"/>
        </w:rPr>
        <w:t>年</w:t>
      </w:r>
      <w:r>
        <w:rPr>
          <w:rFonts w:hint="eastAsia" w:ascii="楷体" w:hAnsi="楷体" w:eastAsia="楷体"/>
          <w:sz w:val="36"/>
          <w:lang w:val="en-US" w:eastAsia="zh-CN"/>
        </w:rPr>
        <w:t>7</w:t>
      </w:r>
      <w:r>
        <w:rPr>
          <w:rFonts w:hint="eastAsia" w:ascii="楷体" w:hAnsi="楷体" w:eastAsia="楷体"/>
          <w:sz w:val="36"/>
        </w:rPr>
        <w:t>月</w:t>
      </w:r>
      <w:r>
        <w:rPr>
          <w:rFonts w:hint="eastAsia" w:ascii="楷体" w:hAnsi="楷体" w:eastAsia="楷体"/>
          <w:sz w:val="36"/>
          <w:lang w:val="en-US" w:eastAsia="zh-CN"/>
        </w:rPr>
        <w:t>13</w:t>
      </w:r>
      <w:r>
        <w:rPr>
          <w:rFonts w:hint="eastAsia" w:ascii="楷体" w:hAnsi="楷体" w:eastAsia="楷体"/>
          <w:sz w:val="36"/>
        </w:rPr>
        <w:t>日</w:t>
      </w:r>
      <w:r>
        <w:rPr>
          <w:rFonts w:hint="eastAsia"/>
          <w:b/>
          <w:bCs/>
          <w:sz w:val="36"/>
          <w:szCs w:val="36"/>
        </w:rPr>
        <w:br w:type="page"/>
      </w:r>
    </w:p>
    <w:p w14:paraId="58268BEA">
      <w:pPr>
        <w:jc w:val="center"/>
        <w:rPr>
          <w:rFonts w:ascii="黑体" w:hAnsi="黑体" w:eastAsia="黑体" w:cs="黑体"/>
          <w:b/>
          <w:bCs/>
          <w:sz w:val="36"/>
          <w:szCs w:val="36"/>
        </w:rPr>
      </w:pPr>
      <w:r>
        <w:rPr>
          <w:rFonts w:hint="eastAsia" w:ascii="黑体" w:hAnsi="黑体" w:eastAsia="黑体" w:cs="黑体"/>
          <w:b/>
          <w:bCs/>
          <w:sz w:val="36"/>
          <w:szCs w:val="36"/>
        </w:rPr>
        <w:t>工学一体化课程标准</w:t>
      </w:r>
    </w:p>
    <w:tbl>
      <w:tblPr>
        <w:tblStyle w:val="7"/>
        <w:tblW w:w="0" w:type="auto"/>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770"/>
        <w:gridCol w:w="205"/>
        <w:gridCol w:w="487"/>
        <w:gridCol w:w="3043"/>
        <w:gridCol w:w="1565"/>
        <w:gridCol w:w="926"/>
        <w:gridCol w:w="916"/>
      </w:tblGrid>
      <w:tr w14:paraId="2FFA10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800" w:type="dxa"/>
            <w:gridSpan w:val="3"/>
            <w:tcBorders>
              <w:tl2br w:val="nil"/>
              <w:tr2bl w:val="nil"/>
            </w:tcBorders>
            <w:vAlign w:val="center"/>
          </w:tcPr>
          <w:p w14:paraId="7E3E1138">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3530" w:type="dxa"/>
            <w:gridSpan w:val="2"/>
            <w:tcBorders>
              <w:tl2br w:val="nil"/>
              <w:tr2bl w:val="nil"/>
            </w:tcBorders>
            <w:vAlign w:val="center"/>
          </w:tcPr>
          <w:p w14:paraId="4B0D0EDD">
            <w:pPr>
              <w:jc w:val="center"/>
              <w:rPr>
                <w:rFonts w:hint="eastAsia" w:ascii="仿宋" w:hAnsi="仿宋" w:eastAsia="仿宋" w:cs="仿宋"/>
                <w:kern w:val="0"/>
                <w:sz w:val="24"/>
                <w:szCs w:val="24"/>
              </w:rPr>
            </w:pPr>
            <w:r>
              <w:rPr>
                <w:rFonts w:hint="eastAsia" w:ascii="仿宋" w:hAnsi="仿宋" w:eastAsia="仿宋" w:cs="仿宋"/>
                <w:color w:val="000000"/>
                <w:szCs w:val="21"/>
              </w:rPr>
              <w:t>数据采集</w:t>
            </w:r>
          </w:p>
        </w:tc>
        <w:tc>
          <w:tcPr>
            <w:tcW w:w="1565" w:type="dxa"/>
            <w:tcBorders>
              <w:tl2br w:val="nil"/>
              <w:tr2bl w:val="nil"/>
            </w:tcBorders>
            <w:vAlign w:val="center"/>
          </w:tcPr>
          <w:p w14:paraId="34A12B6F">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842" w:type="dxa"/>
            <w:gridSpan w:val="2"/>
            <w:tcBorders>
              <w:tl2br w:val="nil"/>
              <w:tr2bl w:val="nil"/>
            </w:tcBorders>
            <w:vAlign w:val="center"/>
          </w:tcPr>
          <w:p w14:paraId="1C8B8FBC">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108</w:t>
            </w:r>
          </w:p>
        </w:tc>
      </w:tr>
      <w:tr w14:paraId="56784A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37" w:type="dxa"/>
            <w:gridSpan w:val="8"/>
            <w:tcBorders>
              <w:tl2br w:val="nil"/>
              <w:tr2bl w:val="nil"/>
            </w:tcBorders>
          </w:tcPr>
          <w:p w14:paraId="36BE54F2">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14:paraId="330938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340DD073">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数据采集是对项目业务应用场景所需特定原始数据通过网络端爬取、设备端采集、存储、交付的工作，包括表格、数据库、网络和 Web 服务器日志等结构化数据和图像类、文本类、音频类、视频类等非结构化数据的采集。</w:t>
            </w:r>
          </w:p>
          <w:p w14:paraId="11029044">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数据采集是 AI 基础数据服务行业全流程服务中的“第一步”，采集到的结构化或非结构化数据质量，决定了数据清洗、标注、分析、机器学习的上限。由于传感器、摄像头、话筒等硬件设备或采集软件等的应用，相对简单，在应用层企业中，主要由初级工或中级工水平的技术人员独立或团队合作完成。</w:t>
            </w:r>
          </w:p>
          <w:p w14:paraId="2A6534EE">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数据采集员从技术主管处领取任务，阅读分析任务单，明确工作内容和工期要求，与项目经理、技术主管交流，获取项目业务数据采集的质量要求、行业属性、采集范围、采集内容；查阅项目技术方案、技术指南、数据采集方法、数据采集质量检查标准等资料和手册，明确交付流程和交付标准；根据采集内容、采集范围、数据来源，制定包含工期安排和人员分配的数据采集实施方案，合理选用工具、材料、设备；严格按照数据采集安全管理规范，借助采集软件、摄像头、USB 数据采集卡、数据采集仪、扫描枪、物联网传感器等软硬工具设备，完成对表格、数据库、网络和 Web 服务器日志等结构化业务数据，图像类、文本类、音频类、视频类等非结构化业务数据的提取、筛选、存储；根据数据采集质量检查标准，小组自查采集的业务数据完整性、可靠性、实时性、准确性和易用性，针对发现的问题进行修正；提交技术主管审核，交付用户，通过验收；规范填写作业日志，对数据采集流提出优化建议。</w:t>
            </w:r>
          </w:p>
          <w:p w14:paraId="4137BE19">
            <w:pPr>
              <w:spacing w:line="360" w:lineRule="auto"/>
              <w:rPr>
                <w:rFonts w:hint="eastAsia" w:ascii="仿宋" w:hAnsi="仿宋" w:eastAsia="仿宋" w:cs="仿宋"/>
                <w:kern w:val="0"/>
                <w:sz w:val="24"/>
                <w:szCs w:val="24"/>
              </w:rPr>
            </w:pPr>
            <w:r>
              <w:rPr>
                <w:rFonts w:hint="eastAsia" w:ascii="仿宋" w:hAnsi="仿宋" w:eastAsia="仿宋" w:cs="仿宋"/>
                <w:bCs/>
                <w:szCs w:val="21"/>
              </w:rPr>
              <w:t>工作过程中，应遵守《中华人民共和国网络安全法》《智慧城市数据融合》（GB/T 36625.2—2018）、《信息技术大数据分析系统功能要求》（GB/T 37721—2019）等各项国家标准和行业规范以及人工智能从业人员的职业道德规范，安全规范操作，具备信息处理、与人交流、交往与合作、自我管理、解决问题等通用能力，具备数据安全意识、质量意识、保护隐私意识、耐心细致、精益求精等职业素养。</w:t>
            </w:r>
          </w:p>
        </w:tc>
      </w:tr>
      <w:tr w14:paraId="756AFEA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15866BFC">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14:paraId="00F911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595" w:type="dxa"/>
            <w:gridSpan w:val="2"/>
            <w:tcBorders>
              <w:tl2br w:val="nil"/>
              <w:tr2bl w:val="nil"/>
            </w:tcBorders>
          </w:tcPr>
          <w:p w14:paraId="0ED34EBF">
            <w:pPr>
              <w:pStyle w:val="11"/>
              <w:spacing w:line="360" w:lineRule="auto"/>
              <w:ind w:firstLine="241" w:firstLineChars="100"/>
              <w:jc w:val="left"/>
              <w:rPr>
                <w:rFonts w:hint="eastAsia" w:ascii="仿宋" w:hAnsi="仿宋" w:eastAsia="仿宋" w:cs="仿宋"/>
                <w:kern w:val="0"/>
                <w:sz w:val="24"/>
                <w:szCs w:val="24"/>
              </w:rPr>
            </w:pPr>
            <w:r>
              <w:rPr>
                <w:rFonts w:hint="eastAsia" w:ascii="仿宋" w:hAnsi="仿宋" w:eastAsia="仿宋" w:cs="仿宋"/>
                <w:b/>
                <w:kern w:val="0"/>
                <w:sz w:val="24"/>
                <w:szCs w:val="24"/>
              </w:rPr>
              <w:t>工作对象：</w:t>
            </w:r>
          </w:p>
          <w:p w14:paraId="795CD60F">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1.【工作任务单阅读分析和采集信息获取】</w:t>
            </w:r>
          </w:p>
          <w:p w14:paraId="798D08D0">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阅读工作任务单，与项目经理、技术主管沟通进行专业沟通，对项目业务数据采集需求的进行分析，关键工作信息的获取。</w:t>
            </w:r>
          </w:p>
          <w:p w14:paraId="32980E1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2.【技术文件的阅读分析和技术要点信息获取】</w:t>
            </w:r>
          </w:p>
          <w:p w14:paraId="0E60A1C8">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技术文件的阅读分析，信息整合处理，梳理作业流程、技术要点及规范等关键信息。</w:t>
            </w:r>
          </w:p>
          <w:p w14:paraId="2C2B35F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3.【数据采集实施方案的制定和前期准备】</w:t>
            </w:r>
          </w:p>
          <w:p w14:paraId="10C158E9">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数据采集实施方案的制定，工具、材料及设备的准备。</w:t>
            </w:r>
          </w:p>
          <w:p w14:paraId="647CADDF">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4.【数据采集的实施】</w:t>
            </w:r>
          </w:p>
          <w:p w14:paraId="1E272BF1">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项目需求数据的提取、筛选、存储。</w:t>
            </w:r>
          </w:p>
          <w:p w14:paraId="5FCD6D8D">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5.【数据自检】</w:t>
            </w:r>
          </w:p>
          <w:p w14:paraId="66F0B27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业务数据集的自审、修改。</w:t>
            </w:r>
          </w:p>
          <w:p w14:paraId="3AFC06F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6.【数据交付】</w:t>
            </w:r>
          </w:p>
          <w:p w14:paraId="244D72F5">
            <w:pPr>
              <w:adjustRightInd w:val="0"/>
              <w:snapToGrid w:val="0"/>
              <w:spacing w:line="360" w:lineRule="auto"/>
              <w:ind w:firstLine="210" w:firstLineChars="100"/>
              <w:rPr>
                <w:rFonts w:hint="eastAsia" w:ascii="仿宋" w:hAnsi="仿宋" w:eastAsia="仿宋" w:cs="仿宋"/>
                <w:kern w:val="0"/>
                <w:sz w:val="24"/>
                <w:szCs w:val="24"/>
              </w:rPr>
            </w:pPr>
            <w:r>
              <w:rPr>
                <w:rFonts w:hint="eastAsia" w:ascii="仿宋" w:hAnsi="仿宋" w:eastAsia="仿宋" w:cs="仿宋"/>
                <w:color w:val="000000" w:themeColor="text1"/>
                <w:kern w:val="0"/>
                <w:szCs w:val="21"/>
                <w14:textFill>
                  <w14:solidFill>
                    <w14:schemeClr w14:val="tx1"/>
                  </w14:solidFill>
                </w14:textFill>
              </w:rPr>
              <w:t>业务数据集质检、交付验收，数据采集作业日志的提交，数据采集流程的优化建议的提出。</w:t>
            </w:r>
          </w:p>
        </w:tc>
        <w:tc>
          <w:tcPr>
            <w:tcW w:w="3735" w:type="dxa"/>
            <w:gridSpan w:val="3"/>
            <w:tcBorders>
              <w:tl2br w:val="nil"/>
              <w:tr2bl w:val="nil"/>
            </w:tcBorders>
          </w:tcPr>
          <w:p w14:paraId="05137D6F">
            <w:pPr>
              <w:pStyle w:val="14"/>
              <w:spacing w:line="360" w:lineRule="auto"/>
              <w:ind w:firstLine="179" w:firstLineChars="85"/>
              <w:jc w:val="lef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工具、材料、设备与资料:</w:t>
            </w:r>
          </w:p>
          <w:p w14:paraId="03652FBA">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工具：数据采集软件（八爪鱼采集器、后裔采集器、OPC Server（第三方工业自动化设备数据采集软件））、数据库SQL、MySQL、MongoDB，Python/PyCharm 运行平台，万用表</w:t>
            </w:r>
          </w:p>
          <w:p w14:paraId="5BE4A392">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材料：工艺绑带、网线、连接导线、HDMI 线</w:t>
            </w:r>
          </w:p>
          <w:p w14:paraId="6D64104C">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设备：摄像头、传感器（物联网传感器、温度、净度）、话筒、数据采集仪、手持设备采集等设备、扫描机 / 扫描枪</w:t>
            </w:r>
          </w:p>
          <w:p w14:paraId="32D221E8">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资料：工作任务单、项目技术方案、数据采集环境配置方法、结构化文本数据采集方法、网络爬虫采集数据的方法、数据库的使用方法、图片、视频拍摄的注意事项、话筒录制音频操作步骤、Python、PyCharm 安装及使用说明等技术指南、数据采集安全管理规范、数据采集质量检查标准、《智慧城市 数据融合 第2部分：数据编码规范》（GB/T 36625.2—2018）、《信息技术 大数据分析系统功能要求》（GB/T 37721—2019）、《数据采集的技能等级标准》《中华人民共和国网络安全法》。</w:t>
            </w:r>
          </w:p>
          <w:p w14:paraId="426B8325">
            <w:pPr>
              <w:adjustRightInd w:val="0"/>
              <w:snapToGrid w:val="0"/>
              <w:spacing w:line="360" w:lineRule="auto"/>
              <w:ind w:firstLine="211" w:firstLineChars="100"/>
              <w:rPr>
                <w:rFonts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工作方法：</w:t>
            </w:r>
          </w:p>
          <w:p w14:paraId="3192EF52">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获取信息的阅读法、询问法；整理信息的关键词法、图示法；应用场景数据需求的分析方法；数据采集环境配置的搭建方法；结构化数据和非结构化数据采集的方法；网络爬虫环境配置的方法；网络爬取结构化数据和非结构化数据的方法；使用正则表达式爬取图片的方法；数据库的使用方法；拍摄图片和视频的方法；摄像头的选型、安装和使用的方法；话筒录制音频的操作方法。</w:t>
            </w:r>
          </w:p>
          <w:p w14:paraId="6CF3DE33">
            <w:pPr>
              <w:adjustRightInd w:val="0"/>
              <w:snapToGrid w:val="0"/>
              <w:spacing w:line="360" w:lineRule="auto"/>
              <w:ind w:firstLine="211" w:firstLineChars="100"/>
              <w:rPr>
                <w:rFonts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劳动组织方式：</w:t>
            </w:r>
          </w:p>
          <w:p w14:paraId="1A046BEF">
            <w:pPr>
              <w:adjustRightInd w:val="0"/>
              <w:snapToGrid w:val="0"/>
              <w:spacing w:line="360" w:lineRule="auto"/>
              <w:ind w:firstLine="210" w:firstLineChars="100"/>
              <w:rPr>
                <w:rFonts w:hint="eastAsia" w:ascii="仿宋" w:hAnsi="仿宋" w:eastAsia="仿宋" w:cs="仿宋"/>
                <w:kern w:val="0"/>
                <w:sz w:val="24"/>
                <w:szCs w:val="24"/>
              </w:rPr>
            </w:pPr>
            <w:r>
              <w:rPr>
                <w:rFonts w:hint="eastAsia" w:ascii="仿宋" w:hAnsi="仿宋" w:eastAsia="仿宋" w:cs="仿宋"/>
                <w:color w:val="000000" w:themeColor="text1"/>
                <w:kern w:val="0"/>
                <w:szCs w:val="21"/>
                <w14:textFill>
                  <w14:solidFill>
                    <w14:schemeClr w14:val="tx1"/>
                  </w14:solidFill>
                </w14:textFill>
              </w:rPr>
              <w:t>以独立或合作的方式进行。从项目经理处领取工作任务，从仓库管理员处查阅或领取材料、工具、设备，必要时与技术主管就数据采集实施中遇到的问题进行沟通，选择合适的工具、设备采集数据，自检、存储，交付数据处理员审核，通过验收，填写作业日志，提出数据采集流程优化建议。</w:t>
            </w:r>
          </w:p>
        </w:tc>
        <w:tc>
          <w:tcPr>
            <w:tcW w:w="3407" w:type="dxa"/>
            <w:gridSpan w:val="3"/>
            <w:tcBorders>
              <w:tl2br w:val="nil"/>
              <w:tr2bl w:val="nil"/>
            </w:tcBorders>
          </w:tcPr>
          <w:p w14:paraId="163404BD">
            <w:pPr>
              <w:pStyle w:val="11"/>
              <w:spacing w:line="360" w:lineRule="auto"/>
              <w:ind w:firstLine="241" w:firstLineChars="100"/>
              <w:jc w:val="left"/>
              <w:rPr>
                <w:rFonts w:hint="eastAsia" w:ascii="仿宋" w:hAnsi="仿宋" w:eastAsia="仿宋" w:cs="仿宋"/>
                <w:b/>
                <w:kern w:val="0"/>
                <w:sz w:val="24"/>
                <w:szCs w:val="24"/>
              </w:rPr>
            </w:pPr>
            <w:r>
              <w:rPr>
                <w:rFonts w:hint="eastAsia" w:ascii="仿宋" w:hAnsi="仿宋" w:eastAsia="仿宋" w:cs="仿宋"/>
                <w:b/>
                <w:kern w:val="0"/>
                <w:sz w:val="24"/>
                <w:szCs w:val="24"/>
              </w:rPr>
              <w:t>工作要求：</w:t>
            </w:r>
          </w:p>
          <w:p w14:paraId="2F23B2A5">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1.读懂任务单，与项目经理、技术主管进行专业沟通，明确作内容和工作要求，获取项目行业属性、采集范围、采集内容、数据来源、数据时效性、质量要求等工作信息，具备信息处理、与人交流的能力。</w:t>
            </w:r>
          </w:p>
          <w:p w14:paraId="07892CDA">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2.能查阅项目技术指南、数据采集工具的使用方法、数据质量控制标准，明确业务项目的数据类型、数据格式、数据采集的方式、方法及交付标准，梳理作业流程、技术要点及规范等关键信息。</w:t>
            </w:r>
          </w:p>
          <w:p w14:paraId="348A508F">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3.制定数据采集实施方案，包括人员分配、工期安排、工具、材料及设备准备，数据安全保障策略和风险评估流程的制定。</w:t>
            </w:r>
          </w:p>
          <w:p w14:paraId="39413B9E">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4.严格按照数据采集安全管理规范，搭建数据采集环境，通过网络爬虫、API 接口等方法完成网络端表格、Web 服务器日志等结构化数据和图像、文本、视频、音频等非结构化数据的提取、筛选；安装摄像头、USB数据采集卡、话筒、物联网传感器等硬件设备并设置参数，完成设备端图像、视频、音频等非结构化数据的采集；安装数据库软件并设置环境，对数据进行加密、备份、权限设置和存储，具备数据安全意识、隐私保护意识；遵循统一的工作流程和标准，不产生因粗心大意降低数据的准确性和工作效率，耐心细致，确保采集过程合规。</w:t>
            </w:r>
          </w:p>
          <w:p w14:paraId="1698E2AF">
            <w:pPr>
              <w:adjustRightInd w:val="0"/>
              <w:snapToGrid w:val="0"/>
              <w:spacing w:line="360" w:lineRule="auto"/>
              <w:ind w:firstLine="210" w:firstLineChars="100"/>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小组定期自查业务采集数据的完整性、准确性、一致性、可靠性、时效性、可访问性、可追溯性、可持续性等方面的要求：检查过程发现的问题及时修正，在工作中做到精益求精，提升质量意识，确保满足数据采集质量检查标准。</w:t>
            </w:r>
          </w:p>
          <w:p w14:paraId="18D3C61B">
            <w:pPr>
              <w:adjustRightInd w:val="0"/>
              <w:snapToGrid w:val="0"/>
              <w:spacing w:line="360" w:lineRule="auto"/>
              <w:ind w:firstLine="210" w:firstLineChars="100"/>
              <w:rPr>
                <w:rFonts w:hint="eastAsia" w:ascii="仿宋" w:hAnsi="仿宋" w:eastAsia="仿宋" w:cs="仿宋"/>
                <w:kern w:val="0"/>
                <w:sz w:val="24"/>
                <w:szCs w:val="24"/>
              </w:rPr>
            </w:pPr>
            <w:r>
              <w:rPr>
                <w:rFonts w:hint="eastAsia" w:ascii="仿宋" w:hAnsi="仿宋" w:eastAsia="仿宋" w:cs="仿宋"/>
                <w:color w:val="000000" w:themeColor="text1"/>
                <w:kern w:val="0"/>
                <w:szCs w:val="21"/>
                <w14:textFill>
                  <w14:solidFill>
                    <w14:schemeClr w14:val="tx1"/>
                  </w14:solidFill>
                </w14:textFill>
              </w:rPr>
              <w:t>6.技术主管审查采集的数据是否达到数据采集质量检查标准，数据交付数据处理员，通过验收；填写作业日志，梳理业务数据质量要求和标准，对数据采集流程提出优化建议。</w:t>
            </w:r>
          </w:p>
        </w:tc>
      </w:tr>
      <w:tr w14:paraId="42BA9A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26341E83">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14:paraId="157E83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2B72F932">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学习完本课程后，学生能够胜任满足人工智能行业应用场景需求的数据采集工作任务，包括结构化数据和非结构化数据的网页端和设备端数据采集；严格执行数据采集规范、安全操作规范、数据采集安全管理规定；具备信息处理、与人交流、交往与合作、自我管理、解决问题等通用能力，具备安全意识、质量意识、保护隐私意识、耐心细致、精益求精等职业素养，具有诚实守信、劳动精神、工匠精神等思政素养。具体包括：</w:t>
            </w:r>
          </w:p>
          <w:p w14:paraId="74CEB852">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1. 能阅读工作任务单，与教师进行有效的专业沟通，记录业务数据采集的行业属性、采集范围、采集内容、数据来源、数据时效性、质量要求等工作信息，明确项目的工作内容和要求，具备信息处理、与人交流的能力。</w:t>
            </w:r>
          </w:p>
          <w:p w14:paraId="398214BB">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2. 能查阅项目技术指南、数据采集工具的使用方法、数据质量控制标准，明确业务项目的数据类型、数据格式、数据采集的方式、方法及交付标准，梳理作业流程、技术要点及规范等关键信息。</w:t>
            </w:r>
          </w:p>
          <w:p w14:paraId="4E6215FC">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3. 合理分配人员和安排工期，选择合适工具、材料及设备，如八爪鱼采集器、后裔采集器、网络爬虫或摄像头、USB 数据采集仪、物联网传感器等软硬件数据采集工具，制定合适的数据安全保障策略和风险评估流程，形成数据采集实施方案并向教师汇报。</w:t>
            </w:r>
          </w:p>
          <w:p w14:paraId="23F24C66">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4. 能严格按照数据采集安全管理规范，搭建数据采集的环境，通过网络爬虫、API 接口等方法完成网络端表格、关系型数据库、Web 服务器日志等结构化数据和图像、文本、视频、音频等非结构化业务数据的提取、筛选；安装摄像机、话筒等硬件设备并进行参数设置，完成设备端图像、视频、音频等非结构化数据的采集；安装数据库软件并设置环境，对数据进行加密、备份、权限设置和存储；能遵守数据信息采集从业人员的职业道德，具备数据安全意识、隐私保护意识、质量意识，在团队合作工作中，需要积极沟通协作，遵循统一的工作流程和标准，耐心细致，确保采集过程合规。</w:t>
            </w:r>
          </w:p>
          <w:p w14:paraId="2169B574">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5.</w:t>
            </w:r>
            <w:r>
              <w:rPr>
                <w:rFonts w:hint="eastAsia" w:ascii="仿宋" w:hAnsi="仿宋" w:eastAsia="仿宋" w:cs="仿宋"/>
                <w:color w:val="000000" w:themeColor="text1"/>
                <w:kern w:val="0"/>
                <w:szCs w:val="21"/>
                <w14:textFill>
                  <w14:solidFill>
                    <w14:schemeClr w14:val="tx1"/>
                  </w14:solidFill>
                </w14:textFill>
              </w:rPr>
              <w:t xml:space="preserve"> </w:t>
            </w:r>
            <w:r>
              <w:rPr>
                <w:rFonts w:hint="eastAsia" w:ascii="仿宋" w:hAnsi="仿宋" w:eastAsia="仿宋" w:cs="仿宋"/>
                <w:color w:val="000000" w:themeColor="text1"/>
                <w:kern w:val="0"/>
                <w:szCs w:val="21"/>
                <w:lang w:val="en-GB"/>
                <w14:textFill>
                  <w14:solidFill>
                    <w14:schemeClr w14:val="tx1"/>
                  </w14:solidFill>
                </w14:textFill>
              </w:rPr>
              <w:t>能按照数据采集质量检查标准定期抽查检验数据，数据符合完整性、准确性、一致性、可靠性、时效性、可访问性、可追溯性、可持续性等方面的要求；检查过程中发现的问题及时分析原因，采取有效的措施进行修正和改进，在工作中做到精益求精，提升质量意识，确保数据的质量可靠。</w:t>
            </w:r>
          </w:p>
          <w:p w14:paraId="616FB1FF">
            <w:pPr>
              <w:adjustRightInd w:val="0"/>
              <w:snapToGrid w:val="0"/>
              <w:spacing w:line="360" w:lineRule="auto"/>
              <w:ind w:firstLine="210" w:firstLineChars="100"/>
              <w:rPr>
                <w:rFonts w:hint="eastAsia" w:ascii="仿宋" w:hAnsi="仿宋" w:eastAsia="仿宋" w:cs="仿宋"/>
                <w:bCs/>
                <w:kern w:val="0"/>
                <w:sz w:val="24"/>
                <w:szCs w:val="24"/>
              </w:rPr>
            </w:pPr>
            <w:r>
              <w:rPr>
                <w:rFonts w:hint="eastAsia" w:ascii="仿宋" w:hAnsi="仿宋" w:eastAsia="仿宋" w:cs="仿宋"/>
                <w:color w:val="000000" w:themeColor="text1"/>
                <w:kern w:val="0"/>
                <w:szCs w:val="21"/>
                <w:lang w:val="en-GB"/>
                <w14:textFill>
                  <w14:solidFill>
                    <w14:schemeClr w14:val="tx1"/>
                  </w14:solidFill>
                </w14:textFill>
              </w:rPr>
              <w:t>6.</w:t>
            </w:r>
            <w:r>
              <w:rPr>
                <w:rFonts w:hint="eastAsia" w:ascii="仿宋" w:hAnsi="仿宋" w:eastAsia="仿宋" w:cs="仿宋"/>
                <w:color w:val="000000" w:themeColor="text1"/>
                <w:kern w:val="0"/>
                <w:szCs w:val="21"/>
                <w14:textFill>
                  <w14:solidFill>
                    <w14:schemeClr w14:val="tx1"/>
                  </w14:solidFill>
                </w14:textFill>
              </w:rPr>
              <w:t xml:space="preserve"> </w:t>
            </w:r>
            <w:r>
              <w:rPr>
                <w:rFonts w:hint="eastAsia" w:ascii="仿宋" w:hAnsi="仿宋" w:eastAsia="仿宋" w:cs="仿宋"/>
                <w:color w:val="000000" w:themeColor="text1"/>
                <w:kern w:val="0"/>
                <w:szCs w:val="21"/>
                <w:lang w:val="en-GB"/>
                <w14:textFill>
                  <w14:solidFill>
                    <w14:schemeClr w14:val="tx1"/>
                  </w14:solidFill>
                </w14:textFill>
              </w:rPr>
              <w:t>按照交付标准交付数据并通过教师验收，能正确填写作业日志，对工作过程进行总结，分析不足，提出数据采集流程优化建议，以便在以后的工作中能够更好地提高数据采集的质量和效率。</w:t>
            </w:r>
          </w:p>
        </w:tc>
      </w:tr>
      <w:tr w14:paraId="514FEA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75BB7EA1">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14:paraId="3EBBCF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250956B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本课程的主要学习内容包括：</w:t>
            </w:r>
          </w:p>
          <w:p w14:paraId="724F796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一、工作任务单阅读分析和采集信息获取</w:t>
            </w:r>
          </w:p>
          <w:p w14:paraId="6DF21C1E">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实践知识：</w:t>
            </w:r>
          </w:p>
          <w:p w14:paraId="7C2D9CB6">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数据采集工作任务单的阅读；数据采集项目技术方案的解读。</w:t>
            </w:r>
          </w:p>
          <w:p w14:paraId="7CE1EF05">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应用场景数据需求分析方法；获取信息的阅读法（扫描任务要求，提取任务单七要素）；询问法（通过提出封闭式问题，获取对方的具体信息和细节）。</w:t>
            </w:r>
          </w:p>
          <w:p w14:paraId="029B8B3B">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应用场景需求数据的对象、类型、属性、来源等关键工作信息的提取。</w:t>
            </w:r>
          </w:p>
          <w:p w14:paraId="24390604">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理论知识：</w:t>
            </w:r>
          </w:p>
          <w:p w14:paraId="3AA8880B">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智能推荐、手势分析、人脸识别、行为识别、智能客服等人工智能应用场景的数据需求意义。</w:t>
            </w:r>
          </w:p>
          <w:p w14:paraId="6E77EE80">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数据的概念及对象（结构化数据、半结构化数据、非结构化数据）；数据的属性（标称属性、二元属性、序数属性、数值属性、离散属性和连续属性）；数据集类型和维度；数据度量；数据来源分类。</w:t>
            </w:r>
          </w:p>
          <w:p w14:paraId="0A05A2E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二、技术文件的阅读分析和技术要点信息获取</w:t>
            </w:r>
          </w:p>
          <w:p w14:paraId="1547623F">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szCs w:val="21"/>
                <w:lang w:val="en-GB"/>
              </w:rPr>
              <w:t>实</w:t>
            </w:r>
            <w:r>
              <w:rPr>
                <w:rFonts w:hint="eastAsia" w:ascii="仿宋" w:hAnsi="仿宋" w:eastAsia="仿宋" w:cs="仿宋"/>
                <w:color w:val="000000" w:themeColor="text1"/>
                <w:kern w:val="0"/>
                <w:szCs w:val="21"/>
                <w:lang w:val="en-GB"/>
                <w14:textFill>
                  <w14:solidFill>
                    <w14:schemeClr w14:val="tx1"/>
                  </w14:solidFill>
                </w14:textFill>
              </w:rPr>
              <w:t>践知识：</w:t>
            </w:r>
          </w:p>
          <w:p w14:paraId="6E90B4B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color w:val="000000" w:themeColor="text1"/>
                <w:kern w:val="0"/>
                <w:szCs w:val="21"/>
                <w:lang w:val="en-GB"/>
                <w14:textFill>
                  <w14:solidFill>
                    <w14:schemeClr w14:val="tx1"/>
                  </w14:solidFill>
                </w14:textFill>
              </w:rPr>
              <w:t>项目技术指南的阅读；数据采集工具的使用；数据采集规范、数据采集安全管理、数据采集质量控制标准等资料的阅</w:t>
            </w:r>
            <w:r>
              <w:rPr>
                <w:rFonts w:hint="eastAsia" w:ascii="仿宋" w:hAnsi="仿宋" w:eastAsia="仿宋" w:cs="仿宋"/>
                <w:szCs w:val="21"/>
                <w:lang w:val="en-GB"/>
              </w:rPr>
              <w:t>读分析。</w:t>
            </w:r>
          </w:p>
          <w:p w14:paraId="4070F82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整理信息的关键词法。</w:t>
            </w:r>
          </w:p>
          <w:p w14:paraId="48EC511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数据采集的内容、数量、存储方式、交付标准等关键工作信息的确定；数据的采集方式、采集方法和数据源等的选择。</w:t>
            </w:r>
          </w:p>
          <w:p w14:paraId="2CEF112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6A7106E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数据采集的概念、类型；数据采集方式的分类；结构化数据、文本、图片、视频、音频等数据的网络端和设备端采集方法；数据采集的存储方法的分类；数据采集质量控制标准（8 个维度）。</w:t>
            </w:r>
          </w:p>
          <w:p w14:paraId="0D23166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三、数据采集实施方案的制定和前期准备</w:t>
            </w:r>
          </w:p>
          <w:p w14:paraId="161E32C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1F8E9DDD">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数据采集的管理规范、数据采集实施方案模板的使用；思维导图模板的使用。</w:t>
            </w:r>
          </w:p>
          <w:p w14:paraId="3D4AE92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整理信息的图示法。</w:t>
            </w:r>
          </w:p>
          <w:p w14:paraId="7DDF23AD">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数据采集管理流程、工作流程、风险评估流程的梳理；数据采集工具、人员安排、时间安排的确定；</w:t>
            </w:r>
          </w:p>
          <w:p w14:paraId="7468B1F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数据采集安全策略的选择。</w:t>
            </w:r>
          </w:p>
          <w:p w14:paraId="6F81006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42F9C3B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数据采集的风险评估定义；数据采集安全策略；数据采集方案设计的要素。</w:t>
            </w:r>
          </w:p>
          <w:p w14:paraId="02D5276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四、数据采集的实施</w:t>
            </w:r>
          </w:p>
          <w:p w14:paraId="46558CE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5B0B8F1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数据采集软件（八爪鱼采集器、后裔采集器）、网络爬虫工具、Python/PyCharm 运行平台、数据库工具的安装与使用；万用表的使用；摄像头、话筒、摄像头、传感器（物联网传感器、温度、净度）、USB 数据采集卡、手持采集设备、扫描机/扫描枪等设备的使用；《智慧城市</w:t>
            </w:r>
            <w:r>
              <w:rPr>
                <w:rFonts w:hint="eastAsia" w:ascii="仿宋" w:hAnsi="仿宋" w:eastAsia="仿宋" w:cs="仿宋"/>
                <w:szCs w:val="21"/>
              </w:rPr>
              <w:t xml:space="preserve"> </w:t>
            </w:r>
            <w:r>
              <w:rPr>
                <w:rFonts w:hint="eastAsia" w:ascii="仿宋" w:hAnsi="仿宋" w:eastAsia="仿宋" w:cs="仿宋"/>
                <w:szCs w:val="21"/>
                <w:lang w:val="en-GB"/>
              </w:rPr>
              <w:t>数据融合》GB/T 36625.3—2021第3部分：数据采集规范标准的解读。</w:t>
            </w:r>
          </w:p>
          <w:p w14:paraId="657DBBB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数据采集环境搭建方法；网络爬虫环境配置方法；网络爬虫工具采集数据的方法（用 Python 实现HTTP 请求、使用正则表达式解析）；MySQL/MongoDB 数据库备份数据、权限设置和数据存储的方法；摄像头的选型、安装、参数设置及拍摄方法；话筒录制音频的方法。</w:t>
            </w:r>
          </w:p>
          <w:p w14:paraId="23979BE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和数据存储方式的选择；网络爬虫环境参数的设置（数据特征分析、使用正则表达式爬取数据时匹配参数的配置）；数据存储格式的选择、摄像机类型的选择；摄像机拍摄图片、视频时参数的设置；提取音频数据提取内容的确定。</w:t>
            </w:r>
          </w:p>
          <w:p w14:paraId="0A448B6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02A5389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网络爬虫的概念、应用、结构、组成、类型；Scrapy 爬虫的工作原理；HTTP 的工作原理；正则表达式的基本语法；常见的反爬虫机制和应对措施；数据存储方式的分类（HTML 正文的抽取存储、数据库存储）；HTML 正文抽取的概念；数据库类型的分类及概念（关系数据库、非关系数据库）；摄像机的分类、特点及参数；图片、视频、音频的属性内容；音频数据采集方法的分类（直接获取已有音频、利用音频处理软件捕获截取声音、用话筒录制声音）。</w:t>
            </w:r>
          </w:p>
          <w:p w14:paraId="17783BC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五、数据自检</w:t>
            </w:r>
          </w:p>
          <w:p w14:paraId="7A9A8CCC">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16186BD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数据采集质量控制标准的查阅；SQL 查询、ETL 工具的使用。</w:t>
            </w:r>
          </w:p>
          <w:p w14:paraId="41EDE92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数据审核的工作流程；数据库数据的提取。</w:t>
            </w:r>
          </w:p>
          <w:p w14:paraId="5F16530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767C604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数据采集质量的考核要素。</w:t>
            </w:r>
          </w:p>
          <w:p w14:paraId="1C856B3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六、数据交付</w:t>
            </w:r>
          </w:p>
          <w:p w14:paraId="456FE3E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70868EC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数据采集安全管理规范的查阅；数据采集作业日志的填写。</w:t>
            </w:r>
          </w:p>
          <w:p w14:paraId="75201FD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数据加密的方法。</w:t>
            </w:r>
          </w:p>
          <w:p w14:paraId="6C715F5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数据采集工作的技术要点总结、存在不足的分析、优化采集流程建议的提出。</w:t>
            </w:r>
          </w:p>
          <w:p w14:paraId="5463019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7540E33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数据加密和脱敏的技术要点；数据采集作业日志撰写的要点。</w:t>
            </w:r>
          </w:p>
          <w:p w14:paraId="555A456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七、职业素养、思政素养</w:t>
            </w:r>
          </w:p>
          <w:p w14:paraId="0AE3B368">
            <w:pPr>
              <w:tabs>
                <w:tab w:val="left" w:pos="3139"/>
              </w:tabs>
              <w:spacing w:line="360" w:lineRule="auto"/>
              <w:ind w:firstLine="210" w:firstLineChars="100"/>
              <w:rPr>
                <w:rFonts w:hint="eastAsia" w:ascii="仿宋" w:hAnsi="仿宋" w:eastAsia="仿宋" w:cs="仿宋"/>
                <w:kern w:val="0"/>
                <w:sz w:val="24"/>
                <w:szCs w:val="24"/>
              </w:rPr>
            </w:pPr>
            <w:r>
              <w:rPr>
                <w:rFonts w:hint="eastAsia" w:ascii="仿宋" w:hAnsi="仿宋" w:eastAsia="仿宋" w:cs="仿宋"/>
                <w:szCs w:val="21"/>
                <w:lang w:val="en-GB"/>
              </w:rPr>
              <w:t>具备信息处理、与人交流、交往与合作、自我管理、解决问题等通用能力，具备安全意识、质量意识、保护隐私意识、耐心细致、精益求精等职业素养。</w:t>
            </w:r>
          </w:p>
        </w:tc>
      </w:tr>
      <w:tr w14:paraId="52A1E0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tcBorders>
              <w:tl2br w:val="nil"/>
              <w:tr2bl w:val="nil"/>
            </w:tcBorders>
            <w:vAlign w:val="center"/>
          </w:tcPr>
          <w:p w14:paraId="6E40F344">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14:paraId="709EE3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4BDD57A9">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2462" w:type="dxa"/>
            <w:gridSpan w:val="3"/>
            <w:tcBorders>
              <w:tl2br w:val="nil"/>
              <w:tr2bl w:val="nil"/>
            </w:tcBorders>
            <w:vAlign w:val="center"/>
          </w:tcPr>
          <w:p w14:paraId="1584677B">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5534" w:type="dxa"/>
            <w:gridSpan w:val="3"/>
            <w:tcBorders>
              <w:tl2br w:val="nil"/>
              <w:tr2bl w:val="nil"/>
            </w:tcBorders>
            <w:vAlign w:val="center"/>
          </w:tcPr>
          <w:p w14:paraId="024FC421">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lang w:val="en-US" w:eastAsia="zh-CN"/>
              </w:rPr>
              <w:t>学习</w:t>
            </w:r>
            <w:r>
              <w:rPr>
                <w:rFonts w:hint="eastAsia" w:ascii="仿宋" w:hAnsi="仿宋" w:eastAsia="仿宋" w:cs="仿宋"/>
                <w:b/>
                <w:bCs/>
                <w:kern w:val="0"/>
                <w:sz w:val="24"/>
                <w:szCs w:val="24"/>
              </w:rPr>
              <w:t>任务描述</w:t>
            </w:r>
          </w:p>
        </w:tc>
        <w:tc>
          <w:tcPr>
            <w:tcW w:w="916" w:type="dxa"/>
            <w:tcBorders>
              <w:tl2br w:val="nil"/>
              <w:tr2bl w:val="nil"/>
            </w:tcBorders>
            <w:vAlign w:val="center"/>
          </w:tcPr>
          <w:p w14:paraId="6150BB4C">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学时</w:t>
            </w:r>
          </w:p>
        </w:tc>
      </w:tr>
      <w:tr w14:paraId="121A66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825" w:type="dxa"/>
            <w:tcBorders>
              <w:tl2br w:val="nil"/>
              <w:tr2bl w:val="nil"/>
            </w:tcBorders>
            <w:vAlign w:val="center"/>
          </w:tcPr>
          <w:p w14:paraId="6B951DC4">
            <w:pPr>
              <w:adjustRightInd w:val="0"/>
              <w:snapToGrid w:val="0"/>
              <w:spacing w:line="400" w:lineRule="exact"/>
              <w:jc w:val="center"/>
              <w:rPr>
                <w:rFonts w:hint="eastAsia" w:ascii="仿宋" w:hAnsi="仿宋" w:eastAsia="仿宋" w:cs="仿宋"/>
                <w:kern w:val="0"/>
                <w:sz w:val="24"/>
                <w:szCs w:val="24"/>
              </w:rPr>
            </w:pPr>
            <w:r>
              <w:rPr>
                <w:rFonts w:hint="eastAsia" w:ascii="仿宋" w:hAnsi="仿宋" w:eastAsia="仿宋" w:cs="仿宋"/>
                <w:szCs w:val="21"/>
              </w:rPr>
              <w:t>1</w:t>
            </w:r>
          </w:p>
        </w:tc>
        <w:tc>
          <w:tcPr>
            <w:tcW w:w="2462" w:type="dxa"/>
            <w:gridSpan w:val="3"/>
            <w:tcBorders>
              <w:tl2br w:val="nil"/>
              <w:tr2bl w:val="nil"/>
            </w:tcBorders>
            <w:vAlign w:val="center"/>
          </w:tcPr>
          <w:p w14:paraId="36EE6261">
            <w:pPr>
              <w:adjustRightInd w:val="0"/>
              <w:snapToGrid w:val="0"/>
              <w:spacing w:line="360" w:lineRule="auto"/>
              <w:jc w:val="center"/>
              <w:rPr>
                <w:rFonts w:hint="eastAsia" w:ascii="仿宋" w:hAnsi="仿宋" w:eastAsia="仿宋" w:cs="仿宋"/>
                <w:kern w:val="0"/>
                <w:sz w:val="24"/>
                <w:szCs w:val="24"/>
              </w:rPr>
            </w:pPr>
            <w:r>
              <w:rPr>
                <w:rFonts w:hint="eastAsia" w:ascii="仿宋" w:hAnsi="仿宋" w:eastAsia="仿宋" w:cs="仿宋"/>
                <w:szCs w:val="21"/>
                <w:lang w:val="en-US" w:eastAsia="zh-CN"/>
              </w:rPr>
              <w:t>任务一：</w:t>
            </w:r>
            <w:r>
              <w:rPr>
                <w:rFonts w:hint="eastAsia" w:ascii="仿宋" w:hAnsi="仿宋" w:eastAsia="仿宋" w:cs="仿宋"/>
                <w:szCs w:val="21"/>
                <w:lang w:val="en-US" w:eastAsia="zh-CN"/>
              </w:rPr>
              <w:br w:type="textWrapping"/>
            </w:r>
            <w:r>
              <w:rPr>
                <w:rFonts w:hint="eastAsia" w:ascii="仿宋" w:hAnsi="仿宋" w:eastAsia="仿宋" w:cs="仿宋"/>
                <w:szCs w:val="21"/>
              </w:rPr>
              <w:t>网络端结构化数据采集</w:t>
            </w:r>
          </w:p>
        </w:tc>
        <w:tc>
          <w:tcPr>
            <w:tcW w:w="5534" w:type="dxa"/>
            <w:gridSpan w:val="3"/>
            <w:tcBorders>
              <w:tl2br w:val="nil"/>
              <w:tr2bl w:val="nil"/>
            </w:tcBorders>
            <w:vAlign w:val="center"/>
          </w:tcPr>
          <w:p w14:paraId="600C2ED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公司新购置了一批净水器滤芯，现需预测滤芯的使用寿命，以满足客户的需求。技术人员需要对净水器滤芯寿命数据进行处理，用于后续模型训练，推算出滤芯的使用寿命，提醒用户及时更换滤芯，提升用户使用的体验感。现项目进入数据采集阶段，需要数据设备的警告、设备日志、设备监控、设备分享、商品字典等、水流量、水质指标（TOC、COD 等）、滤芯原料、净水器使用强度、水压、滤芯原料、水温等，工期为 10 天。</w:t>
            </w:r>
          </w:p>
          <w:p w14:paraId="7705D83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领取工作任务，阅读分析工作任务单，与教师进行有效沟通，明确项目的工作内容和要求；查阅资料和手册，明交付流程和交付标准；制定数据采集实施方案，选择合适的工具；严格按照数据采集规范，爬取在淘宝、京东的评价数据；净水器咨询行业标准等网站上爬取表格网络端各品牌滤芯数据，爬取各品牌滤芯App的用户用水情况数据并存储；组内自审，提交教师审核，交付组长，通过验收，填写作业日志。</w:t>
            </w:r>
          </w:p>
          <w:p w14:paraId="5BBEAB5D">
            <w:pPr>
              <w:adjustRightInd w:val="0"/>
              <w:snapToGrid w:val="0"/>
              <w:spacing w:line="360" w:lineRule="auto"/>
              <w:ind w:firstLine="420" w:firstLineChars="200"/>
              <w:rPr>
                <w:rFonts w:hint="eastAsia" w:ascii="仿宋" w:hAnsi="仿宋" w:eastAsia="仿宋" w:cs="仿宋"/>
                <w:kern w:val="0"/>
                <w:sz w:val="24"/>
                <w:szCs w:val="24"/>
              </w:rPr>
            </w:pPr>
            <w:r>
              <w:rPr>
                <w:rFonts w:hint="eastAsia" w:ascii="仿宋" w:hAnsi="仿宋" w:eastAsia="仿宋" w:cs="仿宋"/>
                <w:szCs w:val="21"/>
              </w:rPr>
              <w:t>工作过程中，应遵守《中华人民共和国网络安全法》《智慧城市数据融合第2部分：数据编码规范》（GB/T 36625.2—2018）、《信息技术 大数据分析系统功能要求》（GB/T 37721—2019）等各项国家标准和行业规范以及人工智能从业人员的职业道德规范，安全规范操作。</w:t>
            </w:r>
          </w:p>
        </w:tc>
        <w:tc>
          <w:tcPr>
            <w:tcW w:w="916" w:type="dxa"/>
            <w:tcBorders>
              <w:tl2br w:val="nil"/>
              <w:tr2bl w:val="nil"/>
            </w:tcBorders>
            <w:vAlign w:val="center"/>
          </w:tcPr>
          <w:p w14:paraId="3A1F985A">
            <w:pPr>
              <w:spacing w:line="400" w:lineRule="exact"/>
              <w:jc w:val="center"/>
              <w:rPr>
                <w:rFonts w:hint="default" w:ascii="仿宋" w:hAnsi="仿宋" w:eastAsia="仿宋" w:cs="仿宋"/>
                <w:kern w:val="0"/>
                <w:sz w:val="24"/>
                <w:szCs w:val="24"/>
                <w:lang w:val="en-US" w:eastAsia="zh-CN"/>
              </w:rPr>
            </w:pPr>
            <w:r>
              <w:rPr>
                <w:rFonts w:hint="eastAsia" w:ascii="仿宋" w:hAnsi="仿宋" w:eastAsia="仿宋" w:cs="仿宋"/>
                <w:szCs w:val="21"/>
                <w:lang w:val="en-US" w:eastAsia="zh-CN"/>
              </w:rPr>
              <w:t>18</w:t>
            </w:r>
          </w:p>
        </w:tc>
      </w:tr>
      <w:tr w14:paraId="297BA4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237" w:hRule="atLeast"/>
        </w:trPr>
        <w:tc>
          <w:tcPr>
            <w:tcW w:w="825" w:type="dxa"/>
            <w:tcBorders>
              <w:tl2br w:val="nil"/>
              <w:tr2bl w:val="nil"/>
            </w:tcBorders>
            <w:vAlign w:val="center"/>
          </w:tcPr>
          <w:p w14:paraId="4FD5558D">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2</w:t>
            </w:r>
          </w:p>
        </w:tc>
        <w:tc>
          <w:tcPr>
            <w:tcW w:w="2462" w:type="dxa"/>
            <w:gridSpan w:val="3"/>
            <w:tcBorders>
              <w:tl2br w:val="nil"/>
              <w:tr2bl w:val="nil"/>
            </w:tcBorders>
            <w:vAlign w:val="center"/>
          </w:tcPr>
          <w:p w14:paraId="1B6930D7">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任务二：</w:t>
            </w:r>
            <w:r>
              <w:rPr>
                <w:rFonts w:hint="eastAsia" w:ascii="仿宋" w:hAnsi="仿宋" w:eastAsia="仿宋" w:cs="仿宋"/>
                <w:szCs w:val="21"/>
              </w:rPr>
              <w:br w:type="textWrapping"/>
            </w:r>
            <w:r>
              <w:rPr>
                <w:rFonts w:hint="eastAsia" w:ascii="仿宋" w:hAnsi="仿宋" w:eastAsia="仿宋" w:cs="仿宋"/>
                <w:szCs w:val="21"/>
              </w:rPr>
              <w:t>网络端文本数据采集</w:t>
            </w:r>
          </w:p>
        </w:tc>
        <w:tc>
          <w:tcPr>
            <w:tcW w:w="5534" w:type="dxa"/>
            <w:gridSpan w:val="3"/>
            <w:tcBorders>
              <w:tl2br w:val="nil"/>
              <w:tr2bl w:val="nil"/>
            </w:tcBorders>
            <w:vAlign w:val="center"/>
          </w:tcPr>
          <w:p w14:paraId="0916C84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科技公司拟设计一套任务型对话系统，利用人工智能技术实现在特定场景自主对话。现项目刚进入输入采集阶段，需要关于医院、银行、商场、学校、图书馆、博物馆等场所对话文本数据集用于对话系统训练，工期为10天。</w:t>
            </w:r>
          </w:p>
          <w:p w14:paraId="0ED6BFC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学生从教师领取工作任务，阅读分析工作任务单，与教师进行有效沟通，明确项目的工作内容和要求；查阅资料和手册，明确交付流程和交付标准；制定数据采集实施方案，运用 Python 编写正则规则爬取各主题网络端文本的数据，过滤无效数据，将采集到符合要求的文本数据按主题分类保存至数据库；组内自审，提交教师审核，交付组长，通过验收，填写作业日志。</w:t>
            </w:r>
          </w:p>
          <w:p w14:paraId="67B6EE92">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工作过程中，应遵守《中华人民共和国网络安全法》《智慧城市数据融合第2 部分：数据编码规范》（GB/T 36625.2—2018）、《信息技术 大数据分析系统功能要求》（GB/T 37721—2019）等各项国家标准和行业规范。</w:t>
            </w:r>
          </w:p>
        </w:tc>
        <w:tc>
          <w:tcPr>
            <w:tcW w:w="916" w:type="dxa"/>
            <w:tcBorders>
              <w:tl2br w:val="nil"/>
              <w:tr2bl w:val="nil"/>
            </w:tcBorders>
            <w:vAlign w:val="center"/>
          </w:tcPr>
          <w:p w14:paraId="425F1EBF">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18</w:t>
            </w:r>
          </w:p>
        </w:tc>
      </w:tr>
      <w:tr w14:paraId="597F9F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54953C03">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3</w:t>
            </w:r>
          </w:p>
        </w:tc>
        <w:tc>
          <w:tcPr>
            <w:tcW w:w="2462" w:type="dxa"/>
            <w:gridSpan w:val="3"/>
            <w:tcBorders>
              <w:tl2br w:val="nil"/>
              <w:tr2bl w:val="nil"/>
            </w:tcBorders>
            <w:vAlign w:val="center"/>
          </w:tcPr>
          <w:p w14:paraId="2A55D091">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任务三：</w:t>
            </w:r>
            <w:r>
              <w:rPr>
                <w:rFonts w:hint="eastAsia" w:ascii="仿宋" w:hAnsi="仿宋" w:eastAsia="仿宋" w:cs="仿宋"/>
                <w:szCs w:val="21"/>
              </w:rPr>
              <w:br w:type="textWrapping"/>
            </w:r>
            <w:r>
              <w:rPr>
                <w:rFonts w:hint="eastAsia" w:ascii="仿宋" w:hAnsi="仿宋" w:eastAsia="仿宋" w:cs="仿宋"/>
                <w:szCs w:val="21"/>
              </w:rPr>
              <w:t>网络端图像数据采集</w:t>
            </w:r>
          </w:p>
        </w:tc>
        <w:tc>
          <w:tcPr>
            <w:tcW w:w="5534" w:type="dxa"/>
            <w:gridSpan w:val="3"/>
            <w:tcBorders>
              <w:tl2br w:val="nil"/>
              <w:tr2bl w:val="nil"/>
            </w:tcBorders>
            <w:vAlign w:val="center"/>
          </w:tcPr>
          <w:p w14:paraId="54ECABB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上海滨江大道管理处委托某公司结合人体手势分析技术开发光影互动项目，提升趣味性与体验感，提升滨江景观知名度。目前项目进入数据采集极端，需要采集不少于用户指定的 5 种类型的人体手势数据，每种类型图像数据不少于 2 GB，图像数据清晰，画幅 4∶3，尺寸为 960×720，大小不大于 2 MB， 工期 10 天。</w:t>
            </w:r>
          </w:p>
          <w:p w14:paraId="7F6808E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领取工作任务，阅读分析工作任务单，与教师进行有效沟通，明确项目的工作内容和要求；查阅资料和手册，明确交付流程和交付标准；制定网络端图像数据实施方案，选择合适的工具，严格按照数据采集规范，搜索网上开源人体手势数据，安装好开发库，查看网页的源代码和图片标签，读取网页内容，获取图片的数据、下载图片，制作成手势图像检测图像数据集；组内自审，提交教师审核，交付组长，通过验收，填写作业日志。</w:t>
            </w:r>
          </w:p>
          <w:p w14:paraId="2F4C7F4A">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工作过程中，应遵守《中华人民共和国网络安全法》《智慧城市 数据融合 第 2 部分：数据编码规范》（GB/T 36625.2—2018）、《信息技术 大数据分析系统功能要求》（GB/T 37721—2019）等各项国家标准和行业规范。</w:t>
            </w:r>
          </w:p>
        </w:tc>
        <w:tc>
          <w:tcPr>
            <w:tcW w:w="916" w:type="dxa"/>
            <w:tcBorders>
              <w:tl2br w:val="nil"/>
              <w:tr2bl w:val="nil"/>
            </w:tcBorders>
            <w:vAlign w:val="center"/>
          </w:tcPr>
          <w:p w14:paraId="0E8DB4B1">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18</w:t>
            </w:r>
          </w:p>
        </w:tc>
      </w:tr>
      <w:tr w14:paraId="198924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6D4AE4AC">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4</w:t>
            </w:r>
          </w:p>
        </w:tc>
        <w:tc>
          <w:tcPr>
            <w:tcW w:w="2462" w:type="dxa"/>
            <w:gridSpan w:val="3"/>
            <w:tcBorders>
              <w:tl2br w:val="nil"/>
              <w:tr2bl w:val="nil"/>
            </w:tcBorders>
            <w:vAlign w:val="center"/>
          </w:tcPr>
          <w:p w14:paraId="4EBB3DBE">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任务四：</w:t>
            </w:r>
            <w:r>
              <w:rPr>
                <w:rFonts w:hint="eastAsia" w:ascii="仿宋" w:hAnsi="仿宋" w:eastAsia="仿宋" w:cs="仿宋"/>
                <w:szCs w:val="21"/>
              </w:rPr>
              <w:br w:type="textWrapping"/>
            </w:r>
            <w:r>
              <w:rPr>
                <w:rFonts w:hint="eastAsia" w:ascii="仿宋" w:hAnsi="仿宋" w:eastAsia="仿宋" w:cs="仿宋"/>
                <w:szCs w:val="21"/>
              </w:rPr>
              <w:t>设备端图像数据采集</w:t>
            </w:r>
          </w:p>
        </w:tc>
        <w:tc>
          <w:tcPr>
            <w:tcW w:w="5534" w:type="dxa"/>
            <w:gridSpan w:val="3"/>
            <w:tcBorders>
              <w:tl2br w:val="nil"/>
              <w:tr2bl w:val="nil"/>
            </w:tcBorders>
            <w:vAlign w:val="center"/>
          </w:tcPr>
          <w:p w14:paraId="36A0F74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某学校需要建设一套智慧教室系统，希望通过人工智能技术中的人脸识别和行为识别来分析学生课堂行为。现阶段进入数据采集阶段，需采集学生的生气、厌恶、恐惧、喜悦、正常、悲伤、惊奇 7 种表情和趴桌子、举手、站立、玩手机 4 种行为动作及姿态识别的数据，工期为 20 天。</w:t>
            </w:r>
          </w:p>
          <w:p w14:paraId="7389217B">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领取工作任务，阅读分析工作任务单，与教师进行有效沟通，明确项目的工作内容和要求；查阅资料和手册，明确交付流程和交付标准；制定智慧教室系统人脸和姿态图像数据采集实施方案，根据智慧教室环境搭好采集设备，多角度拍摄课堂学生姿态图片，整理好学生采集顺序名单和要求，学生按顺序拍照采集入库，完成人脸数据采集；组内自审，提交教师审核，交付组长，通过验收，填写作业日志。</w:t>
            </w:r>
          </w:p>
          <w:p w14:paraId="39463387">
            <w:pPr>
              <w:adjustRightInd w:val="0"/>
              <w:snapToGrid w:val="0"/>
              <w:spacing w:line="360" w:lineRule="auto"/>
              <w:ind w:firstLine="420" w:firstLineChars="200"/>
              <w:rPr>
                <w:rFonts w:hint="eastAsia" w:ascii="仿宋" w:hAnsi="仿宋" w:eastAsia="仿宋" w:cs="仿宋"/>
                <w:kern w:val="2"/>
                <w:sz w:val="24"/>
                <w:szCs w:val="24"/>
                <w:lang w:val="en-US" w:eastAsia="zh-CN" w:bidi="ar-SA"/>
              </w:rPr>
            </w:pPr>
            <w:r>
              <w:rPr>
                <w:rFonts w:hint="eastAsia" w:ascii="仿宋" w:hAnsi="仿宋" w:eastAsia="仿宋" w:cs="仿宋"/>
                <w:szCs w:val="21"/>
              </w:rPr>
              <w:t>工作过程中，严格遵守安全操作规范、《中华人民共和国网络安全法》《智慧城市 数据融合 第 2 部分：数据编码规范》（GB/T 36625.2—2018）、《信息技术 大数据分析系统功能要求》（GB/T 37721—2019）等各项国家标准和行业规范。</w:t>
            </w:r>
          </w:p>
        </w:tc>
        <w:tc>
          <w:tcPr>
            <w:tcW w:w="916" w:type="dxa"/>
            <w:tcBorders>
              <w:tl2br w:val="nil"/>
              <w:tr2bl w:val="nil"/>
            </w:tcBorders>
            <w:vAlign w:val="center"/>
          </w:tcPr>
          <w:p w14:paraId="0FB6B6D8">
            <w:pPr>
              <w:jc w:val="center"/>
              <w:rPr>
                <w:rFonts w:hint="default" w:ascii="仿宋" w:hAnsi="仿宋" w:eastAsia="仿宋" w:cs="仿宋"/>
                <w:kern w:val="2"/>
                <w:sz w:val="24"/>
                <w:szCs w:val="24"/>
                <w:lang w:val="en-US" w:eastAsia="zh-CN" w:bidi="ar-SA"/>
              </w:rPr>
            </w:pPr>
            <w:r>
              <w:rPr>
                <w:rFonts w:hint="eastAsia" w:ascii="仿宋" w:hAnsi="仿宋" w:eastAsia="仿宋" w:cs="仿宋"/>
                <w:szCs w:val="21"/>
                <w:lang w:val="en-US" w:eastAsia="zh-CN"/>
              </w:rPr>
              <w:t>18</w:t>
            </w:r>
          </w:p>
        </w:tc>
      </w:tr>
      <w:tr w14:paraId="36CE70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0D5A8731">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5</w:t>
            </w:r>
          </w:p>
        </w:tc>
        <w:tc>
          <w:tcPr>
            <w:tcW w:w="2462" w:type="dxa"/>
            <w:gridSpan w:val="3"/>
            <w:tcBorders>
              <w:tl2br w:val="nil"/>
              <w:tr2bl w:val="nil"/>
            </w:tcBorders>
            <w:vAlign w:val="center"/>
          </w:tcPr>
          <w:p w14:paraId="6AE0A8AB">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任务五：</w:t>
            </w:r>
            <w:r>
              <w:rPr>
                <w:rFonts w:hint="eastAsia" w:ascii="仿宋" w:hAnsi="仿宋" w:eastAsia="仿宋" w:cs="仿宋"/>
                <w:szCs w:val="21"/>
              </w:rPr>
              <w:br w:type="textWrapping"/>
            </w:r>
            <w:r>
              <w:rPr>
                <w:rFonts w:hint="eastAsia" w:ascii="仿宋" w:hAnsi="仿宋" w:eastAsia="仿宋" w:cs="仿宋"/>
                <w:szCs w:val="21"/>
              </w:rPr>
              <w:t>设备端视频数据采集</w:t>
            </w:r>
          </w:p>
        </w:tc>
        <w:tc>
          <w:tcPr>
            <w:tcW w:w="5534" w:type="dxa"/>
            <w:gridSpan w:val="3"/>
            <w:tcBorders>
              <w:tl2br w:val="nil"/>
              <w:tr2bl w:val="nil"/>
            </w:tcBorders>
            <w:vAlign w:val="center"/>
          </w:tcPr>
          <w:p w14:paraId="03F2D5D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某早餐连锁店为优化员工管理，更好地推广早餐业务，提出开发监管系统，检测早餐笼盖是否盖上，及时提醒员工打开盖子。</w:t>
            </w:r>
          </w:p>
          <w:p w14:paraId="5B644C75">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现阶段进入项目数据采集阶段，需要从不同时间段、不同月份、不同角度、不同姿态采集员工的工作数据，需 2 万张素材，像素至少为 48 mm×48 mm，工期为 20 天。</w:t>
            </w:r>
          </w:p>
          <w:p w14:paraId="3117948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领取工作任务，阅读分析工作任务单，与教师进行有效沟通，明确项目的工作内容和要求；查阅资料和手册，明确交付流程和交付标准；制定连锁早餐店员工行为姿态数据采集实施方案，根据现场环境搭好采集设备，设置摄像头采集图片的属性、存储采集视频帧数据区域，借助数据收集设备将视频数据收集、存储、下载；组内自审，提交教师审核，交付组长，通过验收，填写作业日志。</w:t>
            </w:r>
          </w:p>
          <w:p w14:paraId="4DFFD24D">
            <w:pPr>
              <w:adjustRightInd w:val="0"/>
              <w:snapToGrid w:val="0"/>
              <w:spacing w:line="360" w:lineRule="auto"/>
              <w:ind w:firstLine="420" w:firstLineChars="200"/>
              <w:rPr>
                <w:rFonts w:hint="eastAsia" w:ascii="仿宋" w:hAnsi="仿宋" w:eastAsia="仿宋" w:cs="仿宋"/>
                <w:kern w:val="2"/>
                <w:sz w:val="24"/>
                <w:szCs w:val="24"/>
                <w:lang w:val="en-US" w:eastAsia="zh-CN" w:bidi="ar-SA"/>
              </w:rPr>
            </w:pPr>
            <w:r>
              <w:rPr>
                <w:rFonts w:hint="eastAsia" w:ascii="仿宋" w:hAnsi="仿宋" w:eastAsia="仿宋" w:cs="仿宋"/>
                <w:szCs w:val="21"/>
              </w:rPr>
              <w:t>工作过程中，严格遵守安全操作规范、《中华人民共和国网络安全法》《智慧城市 数据融合 第 2 部分：数据编码规范》（GB/T 36625.2—2018）、《信息技术 大数据分析系统功能要求》（GB/T 37721—2019）等各项国家标准和行业规范。</w:t>
            </w:r>
          </w:p>
        </w:tc>
        <w:tc>
          <w:tcPr>
            <w:tcW w:w="916" w:type="dxa"/>
            <w:tcBorders>
              <w:tl2br w:val="nil"/>
              <w:tr2bl w:val="nil"/>
            </w:tcBorders>
            <w:vAlign w:val="center"/>
          </w:tcPr>
          <w:p w14:paraId="6B249F86">
            <w:pPr>
              <w:jc w:val="center"/>
              <w:rPr>
                <w:rFonts w:hint="default" w:ascii="仿宋" w:hAnsi="仿宋" w:eastAsia="仿宋" w:cs="仿宋"/>
                <w:kern w:val="2"/>
                <w:sz w:val="24"/>
                <w:szCs w:val="24"/>
                <w:lang w:val="en-US" w:eastAsia="zh-CN" w:bidi="ar-SA"/>
              </w:rPr>
            </w:pPr>
            <w:r>
              <w:rPr>
                <w:rFonts w:hint="eastAsia" w:ascii="仿宋" w:hAnsi="仿宋" w:eastAsia="仿宋" w:cs="仿宋"/>
                <w:szCs w:val="21"/>
                <w:lang w:val="en-US" w:eastAsia="zh-CN"/>
              </w:rPr>
              <w:t>18</w:t>
            </w:r>
          </w:p>
        </w:tc>
      </w:tr>
      <w:tr w14:paraId="34DA2E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4A35C086">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6</w:t>
            </w:r>
          </w:p>
        </w:tc>
        <w:tc>
          <w:tcPr>
            <w:tcW w:w="2462" w:type="dxa"/>
            <w:gridSpan w:val="3"/>
            <w:tcBorders>
              <w:tl2br w:val="nil"/>
              <w:tr2bl w:val="nil"/>
            </w:tcBorders>
            <w:vAlign w:val="center"/>
          </w:tcPr>
          <w:p w14:paraId="108388BC">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lang w:val="en-US" w:eastAsia="zh-CN"/>
              </w:rPr>
              <w:t>任务六：</w:t>
            </w:r>
            <w:r>
              <w:rPr>
                <w:rFonts w:hint="eastAsia" w:ascii="仿宋" w:hAnsi="仿宋" w:eastAsia="仿宋" w:cs="仿宋"/>
                <w:szCs w:val="21"/>
              </w:rPr>
              <w:br w:type="textWrapping"/>
            </w:r>
            <w:r>
              <w:rPr>
                <w:rFonts w:hint="eastAsia" w:ascii="仿宋" w:hAnsi="仿宋" w:eastAsia="仿宋" w:cs="仿宋"/>
                <w:szCs w:val="21"/>
              </w:rPr>
              <w:t>设备端语音数据采集</w:t>
            </w:r>
          </w:p>
        </w:tc>
        <w:tc>
          <w:tcPr>
            <w:tcW w:w="5534" w:type="dxa"/>
            <w:gridSpan w:val="3"/>
            <w:tcBorders>
              <w:tl2br w:val="nil"/>
              <w:tr2bl w:val="nil"/>
            </w:tcBorders>
            <w:vAlign w:val="center"/>
          </w:tcPr>
          <w:p w14:paraId="6C0B2F95">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智能展厅委托某公司优化机器人对话交互智能语音系统，需采集机器人音频数据用于人机对话模型的训练使之更智能化。目前进入数据采集阶段，需在机器人不同角度、不同距离、不同说话音量等条件下进行音频数据采集，工期为 20 天。</w:t>
            </w:r>
          </w:p>
          <w:p w14:paraId="67149FF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领取工作任务，阅读分析工作任务单，与教师进行有效沟通，明确项目的工作内容和要求；查阅资料和手册，明确交付流程和交付标准；制定设备端音频数据采集实施方案，根据现场环境搭好采集设备，从机器人平台直接获取已有音频、话筒现场录取声音、音频处理软件捕获截取声音等方式获取音频数据，能满足目标人口统计、语言、环境噪声、音量多维度音频数据要求并分类存储；组内自审，提交教师审核，交付组长，通过验收，填写作业日志。</w:t>
            </w:r>
          </w:p>
          <w:p w14:paraId="043B6A85">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工作过程中，严格遵守安全操作规范、《中华人民共和国网络安全法》《智慧城市 数据融合 第 2 部分：数据编码规范》（GB/T 36625.2—2018）、《信息技术 大数据分析系统功能要求》（GB/T 37721—2019）等各项国家标准和行业规范。</w:t>
            </w:r>
          </w:p>
        </w:tc>
        <w:tc>
          <w:tcPr>
            <w:tcW w:w="916" w:type="dxa"/>
            <w:tcBorders>
              <w:tl2br w:val="nil"/>
              <w:tr2bl w:val="nil"/>
            </w:tcBorders>
            <w:vAlign w:val="center"/>
          </w:tcPr>
          <w:p w14:paraId="05796170">
            <w:pPr>
              <w:spacing w:line="400" w:lineRule="exact"/>
              <w:jc w:val="center"/>
              <w:rPr>
                <w:rFonts w:hint="default" w:ascii="仿宋" w:hAnsi="仿宋" w:eastAsia="仿宋" w:cs="仿宋"/>
                <w:kern w:val="2"/>
                <w:sz w:val="24"/>
                <w:szCs w:val="24"/>
                <w:lang w:val="en-US" w:eastAsia="zh-CN" w:bidi="ar-SA"/>
              </w:rPr>
            </w:pPr>
            <w:r>
              <w:rPr>
                <w:rFonts w:hint="eastAsia" w:ascii="仿宋" w:hAnsi="仿宋" w:eastAsia="仿宋" w:cs="仿宋"/>
                <w:szCs w:val="21"/>
                <w:lang w:val="en-US" w:eastAsia="zh-CN"/>
              </w:rPr>
              <w:t>18</w:t>
            </w:r>
          </w:p>
        </w:tc>
      </w:tr>
      <w:tr w14:paraId="0A8A4D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tcBorders>
              <w:tl2br w:val="nil"/>
              <w:tr2bl w:val="nil"/>
            </w:tcBorders>
            <w:vAlign w:val="center"/>
          </w:tcPr>
          <w:p w14:paraId="319811A2">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14:paraId="782772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tcBorders>
              <w:tl2br w:val="nil"/>
              <w:tr2bl w:val="nil"/>
            </w:tcBorders>
            <w:vAlign w:val="center"/>
          </w:tcPr>
          <w:p w14:paraId="1845D5C8">
            <w:pPr>
              <w:adjustRightInd w:val="0"/>
              <w:snapToGrid w:val="0"/>
              <w:spacing w:line="360" w:lineRule="auto"/>
              <w:ind w:left="420" w:leftChars="200" w:firstLine="0" w:firstLineChars="0"/>
              <w:rPr>
                <w:rFonts w:ascii="仿宋" w:hAnsi="仿宋" w:eastAsia="仿宋" w:cs="仿宋"/>
                <w:szCs w:val="21"/>
              </w:rPr>
            </w:pPr>
            <w:r>
              <w:rPr>
                <w:rFonts w:hint="eastAsia" w:ascii="仿宋" w:hAnsi="仿宋" w:eastAsia="仿宋" w:cs="仿宋"/>
                <w:szCs w:val="21"/>
              </w:rPr>
              <w:t>教学实施与建议：</w:t>
            </w:r>
            <w:r>
              <w:rPr>
                <w:rFonts w:hint="eastAsia" w:ascii="仿宋" w:hAnsi="仿宋" w:eastAsia="仿宋" w:cs="仿宋"/>
                <w:szCs w:val="21"/>
              </w:rPr>
              <w:br w:type="textWrapping"/>
            </w:r>
            <w:r>
              <w:rPr>
                <w:rFonts w:hint="eastAsia" w:ascii="仿宋" w:hAnsi="仿宋" w:eastAsia="仿宋" w:cs="仿宋"/>
                <w:szCs w:val="21"/>
              </w:rPr>
              <w:t>1.对于该课程的授课教师，应提出胜任本课程教学所需的教学能力、专业能力等方面要求。</w:t>
            </w:r>
          </w:p>
          <w:p w14:paraId="3500BF2B">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2.对于该课程的教学场地及设备，应提出配备的场地面积、设备要求、工位布置、工具材料、教学设备等建议。</w:t>
            </w:r>
          </w:p>
          <w:p w14:paraId="59ECD1A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3.对于该课程的教学资料，应提出所需教材、工作页、信息页、工具书、数字化资源的名称、数量、来源等建议。</w:t>
            </w:r>
          </w:p>
          <w:p w14:paraId="753B5AB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4.对于该课程的教学组织方式方法，应以学生为中心理念提出能培养学生职业能力与职业素养高度融合的教学组织形式和教学方法，让学生始终在行动的过程中实现学习。</w:t>
            </w:r>
          </w:p>
          <w:p w14:paraId="1B2ADB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（一）教学条件</w:t>
            </w:r>
          </w:p>
          <w:p w14:paraId="3D8261E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 场地：一体化教室，具备良好的安全、照明和通风条件，可分为集中教学区、方案讨论区、成果展示区，能容纳50-60名学生，提供互联网接入；</w:t>
            </w:r>
          </w:p>
          <w:p w14:paraId="3954BF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 设备：教师用台式电脑、投影仪、屏幕、音箱、学生自带笔记本电脑；</w:t>
            </w:r>
          </w:p>
          <w:p w14:paraId="1AB0D72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 资料：学习任务书（工作页）、教学资源库、评价表、教材（讲义）、参考书、优秀作品范例、素材网站范例等。</w:t>
            </w:r>
          </w:p>
          <w:p w14:paraId="4927C18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（二）教学组织形式</w:t>
            </w:r>
          </w:p>
          <w:p w14:paraId="5280F1B9">
            <w:pPr>
              <w:adjustRightInd w:val="0"/>
              <w:snapToGrid w:val="0"/>
              <w:spacing w:line="360" w:lineRule="auto"/>
              <w:ind w:firstLine="420" w:firstLineChars="200"/>
              <w:rPr>
                <w:szCs w:val="21"/>
              </w:rPr>
            </w:pPr>
            <w:r>
              <w:rPr>
                <w:rFonts w:hint="eastAsia" w:ascii="仿宋" w:hAnsi="仿宋" w:eastAsia="仿宋" w:cs="仿宋"/>
                <w:szCs w:val="21"/>
              </w:rPr>
              <w:t>以独立或小组合作的方式进行，学生从教师（主管）处领取工作任务，与教师（主管）进行沟通，明确工作时间与要求，初稿完成后交教师（主管）审核，根据反馈意见进行修改，直至完稿。</w:t>
            </w:r>
          </w:p>
          <w:p w14:paraId="476656EB">
            <w:pPr>
              <w:adjustRightInd w:val="0"/>
              <w:snapToGrid w:val="0"/>
              <w:spacing w:line="360" w:lineRule="auto"/>
              <w:ind w:firstLine="422" w:firstLineChars="200"/>
              <w:rPr>
                <w:rFonts w:ascii="仿宋" w:hAnsi="仿宋" w:eastAsia="仿宋" w:cs="仿宋"/>
                <w:szCs w:val="21"/>
              </w:rPr>
            </w:pPr>
            <w:r>
              <w:rPr>
                <w:rFonts w:hint="eastAsia" w:ascii="仿宋" w:hAnsi="仿宋" w:eastAsia="仿宋" w:cs="仿宋"/>
                <w:b/>
                <w:szCs w:val="21"/>
              </w:rPr>
              <w:drawing>
                <wp:anchor distT="0" distB="0" distL="114300" distR="114300" simplePos="0" relativeHeight="251659264" behindDoc="0" locked="0" layoutInCell="1" allowOverlap="1">
                  <wp:simplePos x="0" y="0"/>
                  <wp:positionH relativeFrom="column">
                    <wp:posOffset>48895</wp:posOffset>
                  </wp:positionH>
                  <wp:positionV relativeFrom="paragraph">
                    <wp:posOffset>400685</wp:posOffset>
                  </wp:positionV>
                  <wp:extent cx="5035550" cy="673100"/>
                  <wp:effectExtent l="76200" t="0" r="50800" b="0"/>
                  <wp:wrapTopAndBottom/>
                  <wp:docPr id="1616861490" name="图示 16168614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Pr>
                <w:rFonts w:hint="eastAsia" w:ascii="仿宋" w:hAnsi="仿宋" w:eastAsia="仿宋" w:cs="仿宋"/>
                <w:szCs w:val="21"/>
              </w:rPr>
              <w:t>（三）实施过程</w:t>
            </w:r>
          </w:p>
          <w:p w14:paraId="3C215248">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（四）教学组织</w:t>
            </w:r>
          </w:p>
          <w:p w14:paraId="655E76F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1.教学方法建议</w:t>
            </w:r>
          </w:p>
          <w:p w14:paraId="740791C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采用行动导向的教学方法。为确保教学安全，提高教学效果，建议采用集中教学、分别辅导的形式；在完成工作任务的过程中，教师须加强示范与指导，注重学生职业素养和规范操作的培养。</w:t>
            </w:r>
          </w:p>
          <w:p w14:paraId="6170CFF7">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2.教学条件基本要求</w:t>
            </w:r>
          </w:p>
          <w:p w14:paraId="3FE731F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课程要求在支持理论实践一体化的教室中完成，以实现“教、学、练、训”相结合，以便更好的在教学中组织、引导学生完成学习内容。</w:t>
            </w:r>
          </w:p>
          <w:p w14:paraId="237589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3.教学资源库基本要求</w:t>
            </w:r>
          </w:p>
          <w:p w14:paraId="6F16D4B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任课教师应充分发挥自身专业优势，自行制作相关符合学生课内实训要求的视频素材，配备参考书、优秀作品范例、素材网站范例。并充分利用互联网相关教学资源，完成教学任务。</w:t>
            </w:r>
          </w:p>
          <w:p w14:paraId="59EC58E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4.教材参考要求</w:t>
            </w:r>
          </w:p>
          <w:p w14:paraId="5B1ACA9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以工作页为主，配备信息页、教材、课件PPT、微课视频、案例素材、工具或技术指南、数据采集实施方案、规范/标准文件、网络在线教学资源等资料。</w:t>
            </w:r>
          </w:p>
          <w:p w14:paraId="2DDBD42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（五）教学建议</w:t>
            </w:r>
          </w:p>
          <w:p w14:paraId="6567DF2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1.教学过程中应特别关注操作规范和国家标准的应用。</w:t>
            </w:r>
          </w:p>
          <w:p w14:paraId="5CE97B7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2.可将学生进行分组，分别进行任务实施和工作页的填写。</w:t>
            </w:r>
          </w:p>
          <w:p w14:paraId="043368D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3.提供可接入互联网的工作站进行查阅资料，采用多媒体教学手段。</w:t>
            </w:r>
          </w:p>
          <w:p w14:paraId="4348DDD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4.教学实施过程中要注意强调安全操作的重要性。</w:t>
            </w:r>
          </w:p>
          <w:p w14:paraId="5D723DC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5.教学实施过程中要注重软件工具使用的规范性。</w:t>
            </w:r>
          </w:p>
          <w:p w14:paraId="02B873C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6.教师在授课过程中应更多地引导学生自主学习，成为学生学习的咨询者、促进者、动员者、监督者以及学习绩效的评估和改善者。</w:t>
            </w:r>
          </w:p>
          <w:p w14:paraId="793F530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7.要设计具有实际使用价值的工作任务，激发学生的学习兴趣。</w:t>
            </w:r>
          </w:p>
          <w:p w14:paraId="37ED8C55">
            <w:pPr>
              <w:tabs>
                <w:tab w:val="left" w:pos="3139"/>
              </w:tabs>
              <w:spacing w:line="360" w:lineRule="auto"/>
              <w:ind w:firstLine="42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szCs w:val="21"/>
              </w:rPr>
              <w:t>8.教学中教师要有效地组织和引导学生使用阅读、观摩、查阅资料、展示等各种学习手段，使其逐步养成按照咨询、计划、决策、实施、检查、评估六步法完成工作任务的习惯。</w:t>
            </w:r>
          </w:p>
        </w:tc>
      </w:tr>
      <w:tr w14:paraId="42F50D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tl2br w:val="nil"/>
              <w:tr2bl w:val="nil"/>
            </w:tcBorders>
            <w:vAlign w:val="center"/>
          </w:tcPr>
          <w:p w14:paraId="52F5FAD1">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14:paraId="5F8220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vAlign w:val="center"/>
          </w:tcPr>
          <w:p w14:paraId="5D3AEE7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本课程考核采用过程性考核和终结性考核相结合的方式，课程考核成绩 = 过程性考核 70%+ 终结性考核 30%。</w:t>
            </w:r>
          </w:p>
          <w:p w14:paraId="38DAB1A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 过程性考核（70%）</w:t>
            </w:r>
          </w:p>
          <w:p w14:paraId="38DF3C6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过程性考核成绩由6个参考性学习任务考核成绩构成。其中网络端结构化数据采集的考核成绩占比20%，网络端文本数据采集、网络端图像数据采集、设备端图像数据采集、设备端语音数据采集4个参考性学习任务的考核成绩占比均为15%，设备端视频数据采集的考核成绩占比为20%，上述参考性学习任务的考核应以其学习目标为依据确定考核要点，设计考核项目。考核项目可分为技能考核类、学习成果类和通用能力观察类等类别，通过细化其评分细则，分别从专业能力、通用能力等维度对学生学习情况进行考核。</w:t>
            </w:r>
          </w:p>
          <w:p w14:paraId="671BF26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（1）技能考核类考核项目可包括数据采集工具和设备的选用、结构化和非结构化数据的采集、数据采集质量的检验等关键的操作技能和心智技能。</w:t>
            </w:r>
          </w:p>
          <w:p w14:paraId="362E8CB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（2）学习成果类考核项目涉及各学习环节产出的学习成果，可运用作业流程图、思维导图、数据采集实施方案、演示文稿、作业日志等多种形式。</w:t>
            </w:r>
          </w:p>
          <w:p w14:paraId="32D83C2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（3）通用能力观察类考核项目可包括信息处理、与人交流、交往与合作、自主管理、解决问题、安全意识、质量意识、保护隐私意识、耐心细致、精益求精等学生学习过程中表现出来的通用能力、职业素养。</w:t>
            </w:r>
          </w:p>
          <w:p w14:paraId="2C8802C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 终结性考核（30%）</w:t>
            </w:r>
          </w:p>
          <w:p w14:paraId="78DE592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终结性考核应围绕本课程目标，结合课程终结性考核要点，选择企业真实工作任务或设计学习任务进行考核。选取或设计终结性考核任务时，体现了考核任务的综合性及其实施难度。本课程各参考性学习任务间难度呈现并列关系，本终结性考核任务参照第4、5个学习任务的考核要求进行综合设计。</w:t>
            </w:r>
          </w:p>
          <w:p w14:paraId="050E884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学生根据任务情境的要求，按照企业标准和规范，明确数据采集作业流程，选择合适的采集工具，在规定时间内完成项目业务数据的采集，满足项目需求数据质量标准，通过教师验收。</w:t>
            </w:r>
          </w:p>
          <w:p w14:paraId="198FE417">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考核任务案例：驾驶员行为检测系统数据采集</w:t>
            </w:r>
          </w:p>
          <w:p w14:paraId="402E1255">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【情境描述】</w:t>
            </w:r>
          </w:p>
          <w:p w14:paraId="428227C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公司需要开发一套驾驶员行为监测系统，希望通过人工智能技术中的人脸识别、行为识别来分析驾驶员行为状态，包括疲劳驾驶、危险驾驶、佩戴红外阻断墨镜情况、系安全带情况等。现进入数据采集阶段，需采集驾驶员脸部、眼部、体态等细节特征，如打哈欠、闭眼等，打电话、抽烟等危险驾驶行为和佩戴墨镜、视频遮挡等镜头异常情况、系安全带情况检测，完成时间 24 学时。</w:t>
            </w:r>
          </w:p>
          <w:p w14:paraId="163C385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【任务要求】</w:t>
            </w:r>
          </w:p>
          <w:p w14:paraId="1F4AF71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根据任务的情境描述，在规定时间内完成驾驶员行为检测系统数据采集任务：</w:t>
            </w:r>
          </w:p>
          <w:p w14:paraId="19F5124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（1）读懂任务单，与教师进行项目业务数据采集的需求的沟通，记录并整理业务数据采集的质量要求、行业属性、采集范围、采集内容、数据来源、数据时效性、技术要求等工作信息。</w:t>
            </w:r>
          </w:p>
          <w:p w14:paraId="69CA219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（2）判断采集的数据类型，选择匹配的数据采集方式、工具，明确数据采集流程、交付流程和标准，形成思维导图。</w:t>
            </w:r>
          </w:p>
          <w:p w14:paraId="0A77F08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制定数据采集实施方案，包括数据采集目标、人员分配、工程进度、数据采集源头、数据采集方式、数据采集频率、数据量、时效、数据采集工具、数据采集策略、数据存储方案、数据安全保障、数据质量检查等，形成演示文稿，向教师展示汇报。</w:t>
            </w:r>
          </w:p>
          <w:p w14:paraId="365448B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严格按照数据采集质量控制标准，在正规渠道合法公开的信息数据中，正确运用采集软件及摄像头、手机等工具设备完成对驾驶员行为监测项目业务数据的提取、筛选、存储，对数据加密、备份和设置数据访问权限，不出现降低数据的准确性、工作效率的行为。</w:t>
            </w:r>
          </w:p>
          <w:p w14:paraId="5A772345">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（5）定期检查采集到的数据质量，确保数据的准确性和完整性，并记录好检查情况。</w:t>
            </w:r>
          </w:p>
          <w:p w14:paraId="2790F92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（6）数据质量自检后，填写作业日志，提交教师审核，并针对数据采集流程提出优化建议。</w:t>
            </w:r>
          </w:p>
          <w:p w14:paraId="7FB2A33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【参考资料】</w:t>
            </w:r>
          </w:p>
          <w:p w14:paraId="5CC00B8D">
            <w:pPr>
              <w:spacing w:line="360" w:lineRule="auto"/>
              <w:ind w:firstLine="411" w:firstLineChars="196"/>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szCs w:val="21"/>
              </w:rPr>
              <w:t>完成上述任务时，可以使用所有常见的教学资料，如工作页，信息页、教材、课件 PPT、微课视频、案例素材、工具或技术指南、数据采集实施方案、规范/标准文件、网络在线教学资源等资料。</w:t>
            </w:r>
          </w:p>
        </w:tc>
      </w:tr>
    </w:tbl>
    <w:p w14:paraId="0EC4BB49">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roma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1"/>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YmE0YzllZTU5NzhkZTNiMjc5ZTA4MjdkMWIzNjIifQ=="/>
  </w:docVars>
  <w:rsids>
    <w:rsidRoot w:val="00DB6D8A"/>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583779A"/>
    <w:rsid w:val="0C2E1C89"/>
    <w:rsid w:val="0EA6217F"/>
    <w:rsid w:val="0EC453C4"/>
    <w:rsid w:val="26264154"/>
    <w:rsid w:val="2D5269EE"/>
    <w:rsid w:val="2F6A0A2C"/>
    <w:rsid w:val="2FB17F56"/>
    <w:rsid w:val="32697AA0"/>
    <w:rsid w:val="3644400D"/>
    <w:rsid w:val="3938118D"/>
    <w:rsid w:val="3DDB2DEE"/>
    <w:rsid w:val="42FE2086"/>
    <w:rsid w:val="43FD725B"/>
    <w:rsid w:val="44C352B4"/>
    <w:rsid w:val="45763B1A"/>
    <w:rsid w:val="47655843"/>
    <w:rsid w:val="4B7E6C9F"/>
    <w:rsid w:val="51613C02"/>
    <w:rsid w:val="51F00CBA"/>
    <w:rsid w:val="55C82F4A"/>
    <w:rsid w:val="5BEA0D98"/>
    <w:rsid w:val="671D3982"/>
    <w:rsid w:val="693370F8"/>
    <w:rsid w:val="69752E51"/>
    <w:rsid w:val="71C25989"/>
    <w:rsid w:val="71D678CD"/>
    <w:rsid w:val="781A1483"/>
    <w:rsid w:val="79E620DF"/>
    <w:rsid w:val="7A2C424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line="520" w:lineRule="exact"/>
      <w:jc w:val="left"/>
    </w:pPr>
    <w:rPr>
      <w:rFonts w:hAnsi="宋体" w:eastAsia="仿宋_GB2312" w:cs="宋体"/>
      <w:kern w:val="0"/>
      <w:sz w:val="32"/>
      <w:szCs w:val="32"/>
    </w:rPr>
  </w:style>
  <w:style w:type="paragraph" w:styleId="3">
    <w:name w:val="annotation text"/>
    <w:basedOn w:val="1"/>
    <w:autoRedefine/>
    <w:semiHidden/>
    <w:unhideWhenUsed/>
    <w:qFormat/>
    <w:uiPriority w:val="99"/>
    <w:pPr>
      <w:jc w:val="left"/>
    </w:pPr>
  </w:style>
  <w:style w:type="paragraph" w:styleId="4">
    <w:name w:val="footer"/>
    <w:basedOn w:val="1"/>
    <w:link w:val="10"/>
    <w:autoRedefine/>
    <w:unhideWhenUsed/>
    <w:qFormat/>
    <w:uiPriority w:val="99"/>
    <w:pPr>
      <w:tabs>
        <w:tab w:val="center" w:pos="4153"/>
        <w:tab w:val="right" w:pos="8306"/>
      </w:tabs>
      <w:snapToGrid w:val="0"/>
      <w:jc w:val="left"/>
    </w:pPr>
    <w:rPr>
      <w:sz w:val="18"/>
      <w:szCs w:val="18"/>
    </w:rPr>
  </w:style>
  <w:style w:type="paragraph" w:styleId="5">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autoRedefine/>
    <w:qFormat/>
    <w:uiPriority w:val="99"/>
    <w:rPr>
      <w:sz w:val="18"/>
      <w:szCs w:val="18"/>
    </w:rPr>
  </w:style>
  <w:style w:type="character" w:customStyle="1" w:styleId="10">
    <w:name w:val="页脚 字符"/>
    <w:basedOn w:val="8"/>
    <w:link w:val="4"/>
    <w:autoRedefine/>
    <w:qFormat/>
    <w:uiPriority w:val="99"/>
    <w:rPr>
      <w:sz w:val="18"/>
      <w:szCs w:val="18"/>
    </w:rPr>
  </w:style>
  <w:style w:type="paragraph" w:styleId="11">
    <w:name w:val="List Paragraph"/>
    <w:basedOn w:val="1"/>
    <w:autoRedefine/>
    <w:qFormat/>
    <w:uiPriority w:val="34"/>
    <w:pPr>
      <w:ind w:firstLine="420" w:firstLineChars="200"/>
    </w:pPr>
  </w:style>
  <w:style w:type="paragraph" w:customStyle="1" w:styleId="12">
    <w:name w:val="Table Text"/>
    <w:basedOn w:val="1"/>
    <w:autoRedefine/>
    <w:semiHidden/>
    <w:qFormat/>
    <w:uiPriority w:val="0"/>
    <w:rPr>
      <w:rFonts w:ascii="微软雅黑" w:hAnsi="微软雅黑" w:eastAsia="微软雅黑" w:cs="微软雅黑"/>
      <w:sz w:val="18"/>
      <w:szCs w:val="18"/>
      <w:lang w:val="en-US" w:eastAsia="en-US" w:bidi="ar-SA"/>
    </w:rPr>
  </w:style>
  <w:style w:type="table" w:customStyle="1" w:styleId="13">
    <w:name w:val="Table Normal"/>
    <w:autoRedefine/>
    <w:semiHidden/>
    <w:unhideWhenUsed/>
    <w:qFormat/>
    <w:uiPriority w:val="0"/>
    <w:tblPr>
      <w:tblCellMar>
        <w:top w:w="0" w:type="dxa"/>
        <w:left w:w="0" w:type="dxa"/>
        <w:bottom w:w="0" w:type="dxa"/>
        <w:right w:w="0" w:type="dxa"/>
      </w:tblCellMar>
    </w:tblPr>
  </w:style>
  <w:style w:type="paragraph" w:customStyle="1" w:styleId="14">
    <w:name w:val="列出段落1"/>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urn:microsoft.com/office/officeart/2005/8/layout/process1"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cxnId="{29314092-F7FD-41C0-B56D-071FB1D55DCE}" type="parTrans">
      <dgm:prSet/>
      <dgm:spPr/>
      <dgm:t>
        <a:bodyPr/>
        <a:p>
          <a:endParaRPr lang="zh-CN" altLang="en-US"/>
        </a:p>
      </dgm:t>
    </dgm:pt>
    <dgm:pt modelId="{7BA23102-3A6A-43B1-B2D8-BB009C3396A8}" cxnId="{29314092-F7FD-41C0-B56D-071FB1D55DCE}" type="sibTrans">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cxnId="{46C454D6-D187-4FDA-ADC4-A8CA20B446D4}" type="parTrans">
      <dgm:prSet/>
      <dgm:spPr/>
      <dgm:t>
        <a:bodyPr/>
        <a:p>
          <a:endParaRPr lang="zh-CN" altLang="en-US"/>
        </a:p>
      </dgm:t>
    </dgm:pt>
    <dgm:pt modelId="{DBF92573-4750-44C7-BF25-7BC6ECD4B08D}" cxnId="{46C454D6-D187-4FDA-ADC4-A8CA20B446D4}" type="sibTrans">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cxnId="{18CB4475-57B2-4739-8DCC-3BE1241DB7F9}" type="parTrans">
      <dgm:prSet/>
      <dgm:spPr/>
      <dgm:t>
        <a:bodyPr/>
        <a:p>
          <a:endParaRPr lang="zh-CN" altLang="en-US"/>
        </a:p>
      </dgm:t>
    </dgm:pt>
    <dgm:pt modelId="{183EC767-09BD-45D8-AAAB-DF86C0EAE02D}" cxnId="{18CB4475-57B2-4739-8DCC-3BE1241DB7F9}" type="sibTrans">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cxnId="{9E6E705C-F81C-429C-93E4-B456390433C6}" type="parTrans">
      <dgm:prSet/>
      <dgm:spPr/>
      <dgm:t>
        <a:bodyPr/>
        <a:p>
          <a:endParaRPr lang="zh-CN" altLang="en-US"/>
        </a:p>
      </dgm:t>
    </dgm:pt>
    <dgm:pt modelId="{3BE163FF-2E27-426F-A1A7-874D97E8A07E}" cxnId="{9E6E705C-F81C-429C-93E4-B456390433C6}" type="sibTrans">
      <dgm:prSet/>
      <dgm:spPr/>
      <dgm:t>
        <a:bodyPr/>
        <a:p>
          <a:endParaRPr lang="zh-CN" altLang="en-US"/>
        </a:p>
      </dgm:t>
    </dgm:pt>
    <dgm:pt modelId="{5D82EF26-1245-499D-B71C-0510C45A379B}">
      <dgm:prSet custT="1"/>
      <dgm:spPr/>
      <dgm:t>
        <a:bodyPr/>
        <a:p>
          <a:r>
            <a:rPr lang="zh-CN" altLang="en-US" sz="1100">
              <a:solidFill>
                <a:schemeClr val="tx1"/>
              </a:solidFill>
            </a:rPr>
            <a:t>完稿归档</a:t>
          </a:r>
        </a:p>
      </dgm:t>
    </dgm:pt>
    <dgm:pt modelId="{25DB39A7-E68C-4E2B-B165-299AA971C50C}" cxnId="{2CA943F2-634B-4E58-A8FD-36D967FDE090}" type="parTrans">
      <dgm:prSet/>
      <dgm:spPr/>
      <dgm:t>
        <a:bodyPr/>
        <a:p>
          <a:endParaRPr lang="zh-CN" altLang="en-US"/>
        </a:p>
      </dgm:t>
    </dgm:pt>
    <dgm:pt modelId="{ADB84E07-767D-4A41-A060-2B25EC4AE681}" cxnId="{2CA943F2-634B-4E58-A8FD-36D967FDE090}" type="sibTrans">
      <dgm:prSet/>
      <dgm:spPr/>
      <dgm:t>
        <a:bodyPr/>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cxnId="{9EF18191-5BF1-4538-A089-53072A7928E8}" type="parTrans">
      <dgm:prSet/>
      <dgm:spPr/>
      <dgm:t>
        <a:bodyPr/>
        <a:p>
          <a:endParaRPr lang="zh-CN" altLang="en-US"/>
        </a:p>
      </dgm:t>
    </dgm:pt>
    <dgm:pt modelId="{D486DEF5-C2AB-4965-A229-03249827E3D2}" cxnId="{9EF18191-5BF1-4538-A089-53072A7928E8}" type="sibTrans">
      <dgm:prSet/>
      <dgm:spPr/>
      <dgm:t>
        <a:bodyPr/>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pt>
    <dgm:pt modelId="{D05A69CD-0C7B-4336-8BB7-58458B670998}" type="pres">
      <dgm:prSet presAssocID="{7BA23102-3A6A-43B1-B2D8-BB009C3396A8}" presName="connectorText" presStyleLbl="sibTrans2D1" presStyleIdx="0" presStyleCnt="5"/>
      <dgm:spPr/>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pt>
    <dgm:pt modelId="{312E11EE-4771-4717-A738-2888A09B1E34}" type="pres">
      <dgm:prSet presAssocID="{DBF92573-4750-44C7-BF25-7BC6ECD4B08D}" presName="connectorText" presStyleLbl="sibTrans2D1" presStyleIdx="1" presStyleCnt="5"/>
      <dgm:spPr/>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pt>
    <dgm:pt modelId="{1DFF3DC1-10B5-4A94-9D85-D4FE49E0FFED}" type="pres">
      <dgm:prSet presAssocID="{183EC767-09BD-45D8-AAAB-DF86C0EAE02D}" presName="connectorText" presStyleLbl="sibTrans2D1" presStyleIdx="2" presStyleCnt="5"/>
      <dgm:spPr/>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pt>
    <dgm:pt modelId="{A7535D6A-6598-40DA-8296-37B551E66802}" type="pres">
      <dgm:prSet presAssocID="{3BE163FF-2E27-426F-A1A7-874D97E8A07E}" presName="sibTrans" presStyleLbl="sibTrans2D1" presStyleIdx="3" presStyleCnt="5" custScaleX="81275" custScaleY="101261"/>
      <dgm:spPr/>
    </dgm:pt>
    <dgm:pt modelId="{15BF942A-057D-4DAE-BE98-CDDE33B4B869}" type="pres">
      <dgm:prSet presAssocID="{3BE163FF-2E27-426F-A1A7-874D97E8A07E}" presName="connectorText" presStyleLbl="sibTrans2D1" presStyleIdx="3" presStyleCnt="5"/>
      <dgm:spPr/>
    </dgm:pt>
    <dgm:pt modelId="{95D4BB7A-BE29-476A-A975-6100FD7AADAE}" type="pres">
      <dgm:prSet presAssocID="{F38CD69D-75AD-4BDB-B93E-536D4CD55FD0}" presName="node" presStyleLbl="node1" presStyleIdx="4" presStyleCnt="6">
        <dgm:presLayoutVars>
          <dgm:bulletEnabled val="1"/>
        </dgm:presLayoutVars>
      </dgm:prSet>
      <dgm:spPr/>
    </dgm:pt>
    <dgm:pt modelId="{8ADDF32C-9EC2-4C2F-85D5-0610C43BA7AB}" type="pres">
      <dgm:prSet presAssocID="{D486DEF5-C2AB-4965-A229-03249827E3D2}" presName="sibTrans" presStyleLbl="sibTrans2D1" presStyleIdx="4" presStyleCnt="5"/>
      <dgm:spPr/>
    </dgm:pt>
    <dgm:pt modelId="{9A5CD7B8-D433-4332-85CA-B28EF758D996}" type="pres">
      <dgm:prSet presAssocID="{D486DEF5-C2AB-4965-A229-03249827E3D2}" presName="connectorText" presStyleLbl="sibTrans2D1" presStyleIdx="4" presStyleCnt="5"/>
      <dgm:spPr/>
    </dgm:pt>
    <dgm:pt modelId="{63F115E9-0678-4A89-8FB1-EF14EB72BB20}" type="pres">
      <dgm:prSet presAssocID="{5D82EF26-1245-499D-B71C-0510C45A379B}" presName="node" presStyleLbl="node1" presStyleIdx="5" presStyleCnt="6">
        <dgm:presLayoutVars>
          <dgm:bulletEnabled val="1"/>
        </dgm:presLayoutVars>
      </dgm:prSet>
      <dgm:spPr/>
    </dgm:pt>
  </dgm:ptLst>
  <dgm:cxnLst>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5B063B6D-AE17-4A5D-B3B5-76DF25D774F3}" type="presOf" srcId="{15B141ED-E8F2-4083-9884-B2DD57FFDDBD}" destId="{AD717295-A820-4FDF-A089-D3F4D0FCCCA6}"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A8CD4684-17E4-4C3B-8911-F5C784347951}" type="presOf" srcId="{5D82EF26-1245-499D-B71C-0510C45A379B}" destId="{63F115E9-0678-4A89-8FB1-EF14EB72BB20}" srcOrd="0" destOrd="0" presId="urn:microsoft.com/office/officeart/2005/8/layout/process1"/>
    <dgm:cxn modelId="{C3C98A87-0583-4CBD-A622-6C43BA458734}" type="presOf" srcId="{183EC767-09BD-45D8-AAAB-DF86C0EAE02D}" destId="{61E9F66E-ADDC-4612-B5D3-B09CAD1A33A6}" srcOrd="0" destOrd="0" presId="urn:microsoft.com/office/officeart/2005/8/layout/process1"/>
    <dgm:cxn modelId="{9EF18191-5BF1-4538-A089-53072A7928E8}" srcId="{50433DFB-F892-4F03-A1CF-D1AE45411C0C}" destId="{F38CD69D-75AD-4BDB-B93E-536D4CD55FD0}" srcOrd="4" destOrd="0" parTransId="{34AF8480-C245-4A64-AE9F-EEBBE08DE8FE}" sibTransId="{D486DEF5-C2AB-4965-A229-03249827E3D2}"/>
    <dgm:cxn modelId="{29314092-F7FD-41C0-B56D-071FB1D55DCE}" srcId="{50433DFB-F892-4F03-A1CF-D1AE45411C0C}" destId="{BD6FC900-E983-4683-B8B2-97BDC4B119FB}" srcOrd="0" destOrd="0" parTransId="{66C32B03-6C16-4AAE-8F6C-B3618A238A34}" sibTransId="{7BA23102-3A6A-43B1-B2D8-BB009C3396A8}"/>
    <dgm:cxn modelId="{5E8A2E97-17AA-4DD8-BDF4-D2BE8810EFF7}" type="presOf" srcId="{4D12A015-EB41-4C53-A094-1C0719523400}" destId="{DDEF4379-AA7C-4145-8A17-AC7914D2F60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046C21C8-2D3F-4D1F-AF78-599B9AF22DFD}" type="presOf" srcId="{7BA23102-3A6A-43B1-B2D8-BB009C3396A8}" destId="{23802BC9-7CD5-4405-898E-C0FA4C143CD1}"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3784F0E7-27FB-45FE-9DB8-4DABCD2A06A0}" type="presOf" srcId="{3BE163FF-2E27-426F-A1A7-874D97E8A07E}" destId="{A7535D6A-6598-40DA-8296-37B551E66802}" srcOrd="0" destOrd="0" presId="urn:microsoft.com/office/officeart/2005/8/layout/process1"/>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BEDDF9F5-7771-4F64-A08C-D48D55BEA831}" type="presOf" srcId="{50433DFB-F892-4F03-A1CF-D1AE45411C0C}" destId="{93C0EFFF-59F6-4F79-BA95-1DD352CE78D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81C9E6FE-993F-43E9-BCF9-EF5CAF7D4B93}" type="presOf" srcId="{D486DEF5-C2AB-4965-A229-03249827E3D2}" destId="{8ADDF32C-9EC2-4C2F-85D5-0610C43BA7AB}" srcOrd="0" destOrd="0" presId="urn:microsoft.com/office/officeart/2005/8/layout/process1"/>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35550" cy="673100"/>
        <a:chOff x="0" y="0"/>
        <a:chExt cx="5035550" cy="673100"/>
      </a:xfrm>
    </dsp:grpSpPr>
    <dsp:sp modelId="{8CB0ABE6-DFDD-4931-8B87-E410F95C8DDB}">
      <dsp:nvSpPr>
        <dsp:cNvPr id="3" name="圆角矩形 2"/>
        <dsp:cNvSpPr/>
      </dsp:nvSpPr>
      <dsp:spPr bwMode="white">
        <a:xfrm>
          <a:off x="0"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接收任务</a:t>
          </a:r>
        </a:p>
      </dsp:txBody>
      <dsp:txXfrm>
        <a:off x="0" y="147717"/>
        <a:ext cx="629444" cy="377666"/>
      </dsp:txXfrm>
    </dsp:sp>
    <dsp:sp modelId="{23802BC9-7CD5-4405-898E-C0FA4C143CD1}">
      <dsp:nvSpPr>
        <dsp:cNvPr id="4" name="右箭头 3"/>
        <dsp:cNvSpPr/>
      </dsp:nvSpPr>
      <dsp:spPr bwMode="white">
        <a:xfrm>
          <a:off x="688611"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688611" y="258499"/>
        <a:ext cx="133442" cy="156102"/>
      </dsp:txXfrm>
    </dsp:sp>
    <dsp:sp modelId="{DDEF4379-AA7C-4145-8A17-AC7914D2F600}">
      <dsp:nvSpPr>
        <dsp:cNvPr id="5" name="圆角矩形 4"/>
        <dsp:cNvSpPr/>
      </dsp:nvSpPr>
      <dsp:spPr bwMode="white">
        <a:xfrm>
          <a:off x="881221"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分析任务</a:t>
          </a:r>
        </a:p>
      </dsp:txBody>
      <dsp:txXfrm>
        <a:off x="881221" y="147717"/>
        <a:ext cx="629444" cy="377666"/>
      </dsp:txXfrm>
    </dsp:sp>
    <dsp:sp modelId="{49F81E65-B70B-4457-814B-8ADDFB559BF0}">
      <dsp:nvSpPr>
        <dsp:cNvPr id="6" name="右箭头 5"/>
        <dsp:cNvSpPr/>
      </dsp:nvSpPr>
      <dsp:spPr bwMode="white">
        <a:xfrm>
          <a:off x="1569833"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1569833" y="258499"/>
        <a:ext cx="133442" cy="156102"/>
      </dsp:txXfrm>
    </dsp:sp>
    <dsp:sp modelId="{AD717295-A820-4FDF-A089-D3F4D0FCCCA6}">
      <dsp:nvSpPr>
        <dsp:cNvPr id="7" name="圆角矩形 6"/>
        <dsp:cNvSpPr/>
      </dsp:nvSpPr>
      <dsp:spPr bwMode="white">
        <a:xfrm>
          <a:off x="1762443"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准备资料</a:t>
          </a:r>
        </a:p>
      </dsp:txBody>
      <dsp:txXfrm>
        <a:off x="1762443" y="147717"/>
        <a:ext cx="629444" cy="377666"/>
      </dsp:txXfrm>
    </dsp:sp>
    <dsp:sp modelId="{61E9F66E-ADDC-4612-B5D3-B09CAD1A33A6}">
      <dsp:nvSpPr>
        <dsp:cNvPr id="8" name="右箭头 7"/>
        <dsp:cNvSpPr/>
      </dsp:nvSpPr>
      <dsp:spPr bwMode="white">
        <a:xfrm>
          <a:off x="2451054"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2451054" y="258499"/>
        <a:ext cx="133442" cy="156102"/>
      </dsp:txXfrm>
    </dsp:sp>
    <dsp:sp modelId="{4E83E1E9-9DE6-40E2-88A7-073891C0BEDB}">
      <dsp:nvSpPr>
        <dsp:cNvPr id="9" name="圆角矩形 8"/>
        <dsp:cNvSpPr/>
      </dsp:nvSpPr>
      <dsp:spPr bwMode="white">
        <a:xfrm>
          <a:off x="2643664"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任务实施</a:t>
          </a:r>
        </a:p>
      </dsp:txBody>
      <dsp:txXfrm>
        <a:off x="2643664" y="147717"/>
        <a:ext cx="629444" cy="377666"/>
      </dsp:txXfrm>
    </dsp:sp>
    <dsp:sp modelId="{A7535D6A-6598-40DA-8296-37B551E66802}">
      <dsp:nvSpPr>
        <dsp:cNvPr id="10" name="右箭头 9"/>
        <dsp:cNvSpPr/>
      </dsp:nvSpPr>
      <dsp:spPr bwMode="white">
        <a:xfrm>
          <a:off x="3332275"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2275" y="258499"/>
        <a:ext cx="133442" cy="156102"/>
      </dsp:txXfrm>
    </dsp:sp>
    <dsp:sp modelId="{95D4BB7A-BE29-476A-A975-6100FD7AADAE}">
      <dsp:nvSpPr>
        <dsp:cNvPr id="11" name="圆角矩形 10"/>
        <dsp:cNvSpPr/>
      </dsp:nvSpPr>
      <dsp:spPr bwMode="white">
        <a:xfrm>
          <a:off x="3524885"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sp:txBody>
      <dsp:txXfrm>
        <a:off x="3524885" y="147717"/>
        <a:ext cx="629444" cy="377666"/>
      </dsp:txXfrm>
    </dsp:sp>
    <dsp:sp modelId="{8ADDF32C-9EC2-4C2F-85D5-0610C43BA7AB}">
      <dsp:nvSpPr>
        <dsp:cNvPr id="12" name="右箭头 11"/>
        <dsp:cNvSpPr/>
      </dsp:nvSpPr>
      <dsp:spPr bwMode="white">
        <a:xfrm>
          <a:off x="4213496"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213496" y="258499"/>
        <a:ext cx="133442" cy="156102"/>
      </dsp:txXfrm>
    </dsp:sp>
    <dsp:sp modelId="{63F115E9-0678-4A89-8FB1-EF14EB72BB20}">
      <dsp:nvSpPr>
        <dsp:cNvPr id="13" name="圆角矩形 12"/>
        <dsp:cNvSpPr/>
      </dsp:nvSpPr>
      <dsp:spPr bwMode="white">
        <a:xfrm>
          <a:off x="4406106" y="147717"/>
          <a:ext cx="629444" cy="377666"/>
        </a:xfrm>
        <a:prstGeom prst="roundRect">
          <a:avLst>
            <a:gd name="adj" fmla="val 10000"/>
          </a:avLst>
        </a:prstGeom>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完稿归档</a:t>
          </a:r>
        </a:p>
      </dsp:txBody>
      <dsp:txXfrm>
        <a:off x="4406106" y="147717"/>
        <a:ext cx="629444" cy="3776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10142</Words>
  <Characters>10552</Characters>
  <Lines>22</Lines>
  <Paragraphs>6</Paragraphs>
  <TotalTime>18</TotalTime>
  <ScaleCrop>false</ScaleCrop>
  <LinksUpToDate>false</LinksUpToDate>
  <CharactersWithSpaces>10693</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桂灵</cp:lastModifiedBy>
  <cp:lastPrinted>2024-08-15T01:38:29Z</cp:lastPrinted>
  <dcterms:modified xsi:type="dcterms:W3CDTF">2024-08-15T01:39:03Z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216FF0024A1F4646A348E8445B365A75_13</vt:lpwstr>
  </property>
</Properties>
</file>