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iagrams/colors1.xml" ContentType="application/vnd.openxmlformats-officedocument.drawingml.diagramColors+xml"/>
  <Override PartName="/word/diagrams/data1.xml" ContentType="application/vnd.openxmlformats-officedocument.drawingml.diagramData+xml"/>
  <Override PartName="/word/diagrams/drawing1.xml" ContentType="application/vnd.ms-office.drawingml.diagramDrawing+xml"/>
  <Override PartName="/word/diagrams/layout1.xml" ContentType="application/vnd.openxmlformats-officedocument.drawingml.diagramLayout+xml"/>
  <Override PartName="/word/diagrams/quickStyle1.xml" ContentType="application/vnd.openxmlformats-officedocument.drawingml.diagramStyle+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AAC9EC0">
      <w:pPr>
        <w:jc w:val="center"/>
        <w:rPr>
          <w:rFonts w:asciiTheme="minorEastAsia" w:hAnsiTheme="minorEastAsia"/>
          <w:b/>
          <w:sz w:val="56"/>
        </w:rPr>
      </w:pPr>
      <w:r>
        <w:drawing>
          <wp:inline distT="0" distB="0" distL="0" distR="0">
            <wp:extent cx="4326890" cy="1233170"/>
            <wp:effectExtent l="0" t="0" r="0" b="0"/>
            <wp:docPr id="29" name="图片 1" descr="高技校LOGOQ-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1" descr="高技校LOGOQ-2.png"/>
                    <pic:cNvPicPr>
                      <a:picLocks noChangeAspect="1"/>
                    </pic:cNvPicPr>
                  </pic:nvPicPr>
                  <pic:blipFill>
                    <a:blip r:embed="rId4" cstate="print"/>
                    <a:stretch>
                      <a:fillRect/>
                    </a:stretch>
                  </pic:blipFill>
                  <pic:spPr>
                    <a:xfrm>
                      <a:off x="0" y="0"/>
                      <a:ext cx="4338769" cy="1236439"/>
                    </a:xfrm>
                    <a:prstGeom prst="rect">
                      <a:avLst/>
                    </a:prstGeom>
                  </pic:spPr>
                </pic:pic>
              </a:graphicData>
            </a:graphic>
          </wp:inline>
        </w:drawing>
      </w:r>
    </w:p>
    <w:p w14:paraId="71DD4001">
      <w:pPr>
        <w:jc w:val="center"/>
        <w:rPr>
          <w:rFonts w:asciiTheme="minorEastAsia" w:hAnsiTheme="minorEastAsia"/>
          <w:b/>
          <w:sz w:val="56"/>
        </w:rPr>
      </w:pPr>
    </w:p>
    <w:p w14:paraId="6C4AB8DF">
      <w:pPr>
        <w:jc w:val="center"/>
        <w:rPr>
          <w:rFonts w:asciiTheme="minorEastAsia" w:hAnsiTheme="minorEastAsia"/>
          <w:b/>
          <w:sz w:val="56"/>
        </w:rPr>
      </w:pPr>
    </w:p>
    <w:p w14:paraId="1FB3EEF9">
      <w:pPr>
        <w:jc w:val="center"/>
        <w:rPr>
          <w:rFonts w:hint="eastAsia" w:ascii="黑体" w:hAnsi="黑体" w:eastAsia="黑体" w:cs="黑体"/>
          <w:b/>
          <w:sz w:val="52"/>
          <w:szCs w:val="52"/>
        </w:rPr>
      </w:pPr>
      <w:r>
        <w:rPr>
          <w:rFonts w:hint="eastAsia" w:ascii="黑体" w:hAnsi="黑体" w:eastAsia="黑体" w:cs="黑体"/>
          <w:b/>
          <w:sz w:val="52"/>
          <w:szCs w:val="52"/>
        </w:rPr>
        <w:t>《</w:t>
      </w:r>
      <w:r>
        <w:rPr>
          <w:rFonts w:hint="eastAsia" w:asciiTheme="minorEastAsia" w:hAnsiTheme="minorEastAsia"/>
          <w:b/>
          <w:sz w:val="56"/>
        </w:rPr>
        <w:t>数据</w:t>
      </w:r>
      <w:r>
        <w:rPr>
          <w:rFonts w:hint="eastAsia" w:asciiTheme="minorEastAsia" w:hAnsiTheme="minorEastAsia"/>
          <w:b/>
          <w:sz w:val="56"/>
          <w:lang w:val="en-US" w:eastAsia="zh-CN"/>
        </w:rPr>
        <w:t>标注</w:t>
      </w:r>
      <w:r>
        <w:rPr>
          <w:rFonts w:hint="eastAsia" w:ascii="黑体" w:hAnsi="黑体" w:eastAsia="黑体" w:cs="黑体"/>
          <w:b/>
          <w:sz w:val="52"/>
          <w:szCs w:val="52"/>
        </w:rPr>
        <w:t>》课程标准</w:t>
      </w:r>
    </w:p>
    <w:p w14:paraId="584A3F55">
      <w:pPr>
        <w:jc w:val="center"/>
        <w:rPr>
          <w:rFonts w:asciiTheme="minorEastAsia" w:hAnsiTheme="minorEastAsia"/>
          <w:b/>
          <w:sz w:val="56"/>
        </w:rPr>
      </w:pPr>
    </w:p>
    <w:p w14:paraId="74CD2DC6">
      <w:pPr>
        <w:jc w:val="center"/>
        <w:rPr>
          <w:rFonts w:asciiTheme="minorEastAsia" w:hAnsiTheme="minorEastAsia"/>
          <w:b/>
          <w:sz w:val="56"/>
        </w:rPr>
      </w:pPr>
    </w:p>
    <w:p w14:paraId="5916778F">
      <w:pPr>
        <w:ind w:firstLine="2340" w:firstLineChars="650"/>
        <w:jc w:val="left"/>
        <w:rPr>
          <w:rFonts w:hint="eastAsia" w:ascii="楷体" w:hAnsi="楷体" w:eastAsia="楷体"/>
          <w:sz w:val="36"/>
          <w:lang w:val="en-US" w:eastAsia="zh-CN"/>
        </w:rPr>
      </w:pPr>
      <w:r>
        <w:rPr>
          <w:rFonts w:hint="eastAsia" w:ascii="楷体" w:hAnsi="楷体" w:eastAsia="楷体"/>
          <w:sz w:val="36"/>
        </w:rPr>
        <w:t>课程代码：0430061</w:t>
      </w:r>
      <w:r>
        <w:rPr>
          <w:rFonts w:hint="eastAsia" w:ascii="楷体" w:hAnsi="楷体" w:eastAsia="楷体"/>
          <w:sz w:val="36"/>
          <w:lang w:val="en-US" w:eastAsia="zh-CN"/>
        </w:rPr>
        <w:t>2</w:t>
      </w:r>
    </w:p>
    <w:p w14:paraId="2DFA41FB">
      <w:pPr>
        <w:ind w:firstLine="2340" w:firstLineChars="650"/>
        <w:jc w:val="left"/>
        <w:rPr>
          <w:rFonts w:ascii="楷体" w:hAnsi="楷体" w:eastAsia="楷体"/>
          <w:sz w:val="36"/>
        </w:rPr>
      </w:pPr>
      <w:r>
        <w:rPr>
          <w:rFonts w:hint="eastAsia" w:ascii="楷体" w:hAnsi="楷体" w:eastAsia="楷体"/>
          <w:sz w:val="36"/>
        </w:rPr>
        <w:t>课程性质：必修课</w:t>
      </w:r>
    </w:p>
    <w:p w14:paraId="1C81F935">
      <w:pPr>
        <w:jc w:val="left"/>
        <w:rPr>
          <w:rFonts w:hint="default" w:ascii="楷体" w:hAnsi="楷体" w:eastAsia="楷体"/>
          <w:sz w:val="36"/>
          <w:lang w:val="en-US" w:eastAsia="zh-CN"/>
        </w:rPr>
      </w:pPr>
      <w:r>
        <w:rPr>
          <w:rFonts w:hint="eastAsia" w:ascii="楷体" w:hAnsi="楷体" w:eastAsia="楷体"/>
          <w:sz w:val="36"/>
        </w:rPr>
        <w:t xml:space="preserve">             课程类别：</w:t>
      </w:r>
      <w:r>
        <w:rPr>
          <w:rFonts w:hint="eastAsia" w:ascii="楷体" w:hAnsi="楷体" w:eastAsia="楷体"/>
          <w:sz w:val="36"/>
          <w:lang w:val="en-US" w:eastAsia="zh-CN"/>
        </w:rPr>
        <w:t>工学一体化课程</w:t>
      </w:r>
    </w:p>
    <w:p w14:paraId="65B587A9">
      <w:pPr>
        <w:ind w:firstLine="2340" w:firstLineChars="650"/>
        <w:jc w:val="left"/>
        <w:rPr>
          <w:rFonts w:hint="eastAsia" w:ascii="楷体" w:hAnsi="楷体" w:eastAsia="楷体"/>
          <w:sz w:val="36"/>
        </w:rPr>
      </w:pPr>
      <w:r>
        <w:rPr>
          <w:rFonts w:hint="eastAsia" w:ascii="楷体" w:hAnsi="楷体" w:eastAsia="楷体"/>
          <w:sz w:val="36"/>
        </w:rPr>
        <w:t>适用对象：人工智能技术应用专业</w:t>
      </w:r>
    </w:p>
    <w:p w14:paraId="021E2222">
      <w:pPr>
        <w:ind w:firstLine="2340" w:firstLineChars="650"/>
        <w:jc w:val="left"/>
        <w:rPr>
          <w:rFonts w:hint="default" w:ascii="楷体" w:hAnsi="楷体" w:eastAsia="楷体"/>
          <w:sz w:val="36"/>
          <w:lang w:val="en-US" w:eastAsia="zh-CN"/>
        </w:rPr>
      </w:pPr>
      <w:r>
        <w:rPr>
          <w:rFonts w:hint="eastAsia" w:ascii="楷体" w:hAnsi="楷体" w:eastAsia="楷体"/>
          <w:sz w:val="36"/>
        </w:rPr>
        <w:t>所属培养层级</w:t>
      </w:r>
      <w:r>
        <w:rPr>
          <w:rFonts w:hint="eastAsia" w:ascii="楷体" w:hAnsi="楷体" w:eastAsia="楷体"/>
          <w:sz w:val="36"/>
          <w:lang w:eastAsia="zh-CN"/>
        </w:rPr>
        <w:t>：</w:t>
      </w:r>
      <w:r>
        <w:rPr>
          <w:rFonts w:hint="eastAsia" w:ascii="楷体" w:hAnsi="楷体" w:eastAsia="楷体"/>
          <w:sz w:val="36"/>
          <w:lang w:val="en-US" w:eastAsia="zh-CN"/>
        </w:rPr>
        <w:t>初中起五年高技</w:t>
      </w:r>
    </w:p>
    <w:p w14:paraId="69AF22F5">
      <w:pPr>
        <w:ind w:firstLine="2340" w:firstLineChars="650"/>
        <w:jc w:val="left"/>
        <w:rPr>
          <w:rFonts w:hint="default" w:ascii="楷体" w:hAnsi="楷体" w:eastAsia="楷体"/>
          <w:sz w:val="36"/>
          <w:lang w:val="en-US" w:eastAsia="zh-CN"/>
        </w:rPr>
      </w:pPr>
      <w:r>
        <w:rPr>
          <w:rFonts w:hint="eastAsia" w:ascii="楷体" w:hAnsi="楷体" w:eastAsia="楷体"/>
          <w:sz w:val="36"/>
        </w:rPr>
        <w:t>总 学 时：</w:t>
      </w:r>
      <w:r>
        <w:rPr>
          <w:rFonts w:hint="eastAsia" w:ascii="楷体" w:hAnsi="楷体" w:eastAsia="楷体"/>
          <w:sz w:val="36"/>
          <w:lang w:val="en-US" w:eastAsia="zh-CN"/>
        </w:rPr>
        <w:t>144</w:t>
      </w:r>
    </w:p>
    <w:p w14:paraId="5B80E901">
      <w:pPr>
        <w:ind w:firstLine="2340" w:firstLineChars="650"/>
        <w:jc w:val="left"/>
        <w:rPr>
          <w:rFonts w:hint="eastAsia" w:ascii="楷体" w:hAnsi="楷体" w:eastAsia="楷体"/>
          <w:sz w:val="36"/>
          <w:lang w:val="en-US" w:eastAsia="zh-CN"/>
        </w:rPr>
      </w:pPr>
      <w:r>
        <w:rPr>
          <w:rFonts w:hint="eastAsia" w:ascii="楷体" w:hAnsi="楷体" w:eastAsia="楷体"/>
          <w:sz w:val="36"/>
          <w:lang w:val="en-US" w:eastAsia="zh-CN"/>
        </w:rPr>
        <w:t>制定人</w:t>
      </w:r>
      <w:r>
        <w:rPr>
          <w:rFonts w:hint="eastAsia" w:ascii="楷体" w:hAnsi="楷体" w:eastAsia="楷体"/>
          <w:sz w:val="36"/>
        </w:rPr>
        <w:t>：</w:t>
      </w:r>
    </w:p>
    <w:p w14:paraId="67285957">
      <w:pPr>
        <w:ind w:firstLine="2340" w:firstLineChars="650"/>
        <w:jc w:val="left"/>
        <w:rPr>
          <w:rFonts w:ascii="楷体" w:hAnsi="楷体" w:eastAsia="楷体"/>
          <w:sz w:val="36"/>
        </w:rPr>
      </w:pPr>
      <w:r>
        <w:rPr>
          <w:rFonts w:hint="eastAsia" w:ascii="楷体" w:hAnsi="楷体" w:eastAsia="楷体"/>
          <w:sz w:val="36"/>
          <w:lang w:val="en-US" w:eastAsia="zh-CN"/>
        </w:rPr>
        <w:t>审核</w:t>
      </w:r>
      <w:r>
        <w:rPr>
          <w:rFonts w:hint="eastAsia" w:ascii="楷体" w:hAnsi="楷体" w:eastAsia="楷体"/>
          <w:sz w:val="36"/>
        </w:rPr>
        <w:t>人：</w:t>
      </w:r>
    </w:p>
    <w:p w14:paraId="642590F9">
      <w:pPr>
        <w:ind w:firstLine="2340" w:firstLineChars="650"/>
        <w:jc w:val="left"/>
        <w:rPr>
          <w:rFonts w:hint="eastAsia" w:ascii="楷体" w:hAnsi="楷体" w:eastAsia="楷体"/>
          <w:sz w:val="36"/>
        </w:rPr>
      </w:pPr>
      <w:r>
        <w:rPr>
          <w:rFonts w:hint="eastAsia" w:ascii="楷体" w:hAnsi="楷体" w:eastAsia="楷体"/>
          <w:sz w:val="36"/>
        </w:rPr>
        <w:t>审</w:t>
      </w:r>
      <w:r>
        <w:rPr>
          <w:rFonts w:hint="eastAsia" w:ascii="楷体" w:hAnsi="楷体" w:eastAsia="楷体"/>
          <w:sz w:val="36"/>
          <w:lang w:val="en-US" w:eastAsia="zh-CN"/>
        </w:rPr>
        <w:t>定</w:t>
      </w:r>
      <w:r>
        <w:rPr>
          <w:rFonts w:hint="eastAsia" w:ascii="楷体" w:hAnsi="楷体" w:eastAsia="楷体"/>
          <w:sz w:val="36"/>
        </w:rPr>
        <w:t>人：</w:t>
      </w:r>
    </w:p>
    <w:p w14:paraId="7AA1D4D7">
      <w:pPr>
        <w:ind w:firstLine="2340" w:firstLineChars="650"/>
        <w:jc w:val="left"/>
        <w:rPr>
          <w:rFonts w:hint="default" w:ascii="楷体" w:hAnsi="楷体" w:eastAsia="楷体"/>
          <w:sz w:val="36"/>
          <w:lang w:val="en-US" w:eastAsia="zh-CN"/>
        </w:rPr>
      </w:pPr>
      <w:r>
        <w:rPr>
          <w:rFonts w:hint="eastAsia" w:ascii="楷体" w:hAnsi="楷体" w:eastAsia="楷体"/>
          <w:sz w:val="36"/>
          <w:lang w:val="en-US" w:eastAsia="zh-CN"/>
        </w:rPr>
        <w:t>审批人：</w:t>
      </w:r>
    </w:p>
    <w:p w14:paraId="0D8998AE">
      <w:pPr>
        <w:ind w:firstLine="2340" w:firstLineChars="650"/>
        <w:jc w:val="left"/>
        <w:rPr>
          <w:rFonts w:ascii="宋体" w:hAnsi="宋体" w:eastAsia="宋体"/>
          <w:b/>
          <w:bCs/>
          <w:sz w:val="32"/>
          <w:szCs w:val="32"/>
        </w:rPr>
      </w:pPr>
      <w:r>
        <w:rPr>
          <w:rFonts w:hint="eastAsia" w:ascii="楷体" w:hAnsi="楷体" w:eastAsia="楷体"/>
          <w:sz w:val="36"/>
        </w:rPr>
        <w:t>编订日期：20</w:t>
      </w:r>
      <w:r>
        <w:rPr>
          <w:rFonts w:hint="eastAsia" w:ascii="楷体" w:hAnsi="楷体" w:eastAsia="楷体"/>
          <w:sz w:val="36"/>
          <w:lang w:val="en-US" w:eastAsia="zh-CN"/>
        </w:rPr>
        <w:t>24</w:t>
      </w:r>
      <w:r>
        <w:rPr>
          <w:rFonts w:hint="eastAsia" w:ascii="楷体" w:hAnsi="楷体" w:eastAsia="楷体"/>
          <w:sz w:val="36"/>
        </w:rPr>
        <w:t>年</w:t>
      </w:r>
      <w:r>
        <w:rPr>
          <w:rFonts w:hint="eastAsia" w:ascii="楷体" w:hAnsi="楷体" w:eastAsia="楷体"/>
          <w:sz w:val="36"/>
          <w:lang w:val="en-US" w:eastAsia="zh-CN"/>
        </w:rPr>
        <w:t>9</w:t>
      </w:r>
      <w:r>
        <w:rPr>
          <w:rFonts w:hint="eastAsia" w:ascii="楷体" w:hAnsi="楷体" w:eastAsia="楷体"/>
          <w:sz w:val="36"/>
        </w:rPr>
        <w:t>月</w:t>
      </w:r>
      <w:r>
        <w:rPr>
          <w:rFonts w:hint="eastAsia" w:ascii="楷体" w:hAnsi="楷体" w:eastAsia="楷体"/>
          <w:sz w:val="36"/>
          <w:lang w:val="en-US" w:eastAsia="zh-CN"/>
        </w:rPr>
        <w:t>4</w:t>
      </w:r>
      <w:r>
        <w:rPr>
          <w:rFonts w:hint="eastAsia" w:ascii="楷体" w:hAnsi="楷体" w:eastAsia="楷体"/>
          <w:sz w:val="36"/>
        </w:rPr>
        <w:t>日</w:t>
      </w:r>
      <w:r>
        <w:rPr>
          <w:rFonts w:hint="eastAsia"/>
          <w:b/>
          <w:bCs/>
          <w:sz w:val="36"/>
          <w:szCs w:val="36"/>
        </w:rPr>
        <w:br w:type="page"/>
      </w:r>
    </w:p>
    <w:p w14:paraId="58268BEA">
      <w:pPr>
        <w:jc w:val="center"/>
        <w:rPr>
          <w:rFonts w:ascii="黑体" w:hAnsi="黑体" w:eastAsia="黑体" w:cs="黑体"/>
          <w:b/>
          <w:bCs/>
          <w:sz w:val="36"/>
          <w:szCs w:val="36"/>
        </w:rPr>
      </w:pPr>
      <w:r>
        <w:rPr>
          <w:rFonts w:hint="eastAsia" w:ascii="黑体" w:hAnsi="黑体" w:eastAsia="黑体" w:cs="黑体"/>
          <w:b/>
          <w:bCs/>
          <w:sz w:val="36"/>
          <w:szCs w:val="36"/>
        </w:rPr>
        <w:t>工学一体化课程标准</w:t>
      </w:r>
    </w:p>
    <w:tbl>
      <w:tblPr>
        <w:tblStyle w:val="7"/>
        <w:tblW w:w="0" w:type="auto"/>
        <w:tblInd w:w="103" w:type="dxa"/>
        <w:tblBorders>
          <w:top w:val="single" w:color="auto" w:sz="4" w:space="0"/>
          <w:left w:val="none" w:color="auto" w:sz="0" w:space="0"/>
          <w:bottom w:val="single" w:color="auto" w:sz="4"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825"/>
        <w:gridCol w:w="1770"/>
        <w:gridCol w:w="205"/>
        <w:gridCol w:w="4"/>
        <w:gridCol w:w="3384"/>
        <w:gridCol w:w="1707"/>
        <w:gridCol w:w="926"/>
        <w:gridCol w:w="916"/>
      </w:tblGrid>
      <w:tr w14:paraId="2FFA1029">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569" w:hRule="atLeast"/>
        </w:trPr>
        <w:tc>
          <w:tcPr>
            <w:tcW w:w="2800" w:type="dxa"/>
            <w:gridSpan w:val="3"/>
            <w:tcBorders>
              <w:tl2br w:val="nil"/>
              <w:tr2bl w:val="nil"/>
            </w:tcBorders>
            <w:vAlign w:val="center"/>
          </w:tcPr>
          <w:p w14:paraId="7E3E1138">
            <w:pPr>
              <w:jc w:val="center"/>
              <w:rPr>
                <w:rFonts w:hint="eastAsia" w:ascii="仿宋" w:hAnsi="仿宋" w:eastAsia="仿宋" w:cs="仿宋"/>
                <w:kern w:val="0"/>
                <w:sz w:val="24"/>
                <w:szCs w:val="24"/>
              </w:rPr>
            </w:pPr>
            <w:r>
              <w:rPr>
                <w:rFonts w:hint="eastAsia" w:ascii="仿宋" w:hAnsi="仿宋" w:eastAsia="仿宋" w:cs="仿宋"/>
                <w:b/>
                <w:bCs/>
                <w:kern w:val="0"/>
                <w:sz w:val="24"/>
                <w:szCs w:val="24"/>
              </w:rPr>
              <w:t>一体化课程名称</w:t>
            </w:r>
          </w:p>
        </w:tc>
        <w:tc>
          <w:tcPr>
            <w:tcW w:w="3388" w:type="dxa"/>
            <w:gridSpan w:val="2"/>
            <w:tcBorders>
              <w:tl2br w:val="nil"/>
              <w:tr2bl w:val="nil"/>
            </w:tcBorders>
            <w:vAlign w:val="center"/>
          </w:tcPr>
          <w:p w14:paraId="4B0D0EDD">
            <w:pPr>
              <w:jc w:val="center"/>
              <w:rPr>
                <w:rFonts w:hint="eastAsia" w:ascii="仿宋" w:hAnsi="仿宋" w:eastAsia="仿宋" w:cs="仿宋"/>
                <w:kern w:val="0"/>
                <w:sz w:val="24"/>
                <w:szCs w:val="24"/>
              </w:rPr>
            </w:pPr>
            <w:r>
              <w:rPr>
                <w:rFonts w:hint="eastAsia" w:ascii="仿宋" w:hAnsi="仿宋" w:eastAsia="仿宋" w:cs="仿宋"/>
                <w:color w:val="000000"/>
                <w:szCs w:val="21"/>
              </w:rPr>
              <w:t>数据标注</w:t>
            </w:r>
          </w:p>
        </w:tc>
        <w:tc>
          <w:tcPr>
            <w:tcW w:w="1707" w:type="dxa"/>
            <w:tcBorders>
              <w:tl2br w:val="nil"/>
              <w:tr2bl w:val="nil"/>
            </w:tcBorders>
            <w:vAlign w:val="center"/>
          </w:tcPr>
          <w:p w14:paraId="34A12B6F">
            <w:pPr>
              <w:jc w:val="center"/>
              <w:rPr>
                <w:rFonts w:hint="eastAsia" w:ascii="仿宋" w:hAnsi="仿宋" w:eastAsia="仿宋" w:cs="仿宋"/>
                <w:kern w:val="0"/>
                <w:sz w:val="24"/>
                <w:szCs w:val="24"/>
              </w:rPr>
            </w:pPr>
            <w:r>
              <w:rPr>
                <w:rFonts w:hint="eastAsia" w:ascii="仿宋" w:hAnsi="仿宋" w:eastAsia="仿宋" w:cs="仿宋"/>
                <w:b/>
                <w:bCs/>
                <w:kern w:val="0"/>
                <w:sz w:val="24"/>
                <w:szCs w:val="24"/>
              </w:rPr>
              <w:t>学时</w:t>
            </w:r>
          </w:p>
        </w:tc>
        <w:tc>
          <w:tcPr>
            <w:tcW w:w="1842" w:type="dxa"/>
            <w:gridSpan w:val="2"/>
            <w:tcBorders>
              <w:tl2br w:val="nil"/>
              <w:tr2bl w:val="nil"/>
            </w:tcBorders>
            <w:vAlign w:val="center"/>
          </w:tcPr>
          <w:p w14:paraId="1C8B8FBC">
            <w:pPr>
              <w:jc w:val="center"/>
              <w:rPr>
                <w:rFonts w:hint="default" w:ascii="仿宋" w:hAnsi="仿宋" w:eastAsia="仿宋" w:cs="仿宋"/>
                <w:kern w:val="0"/>
                <w:sz w:val="24"/>
                <w:szCs w:val="24"/>
                <w:lang w:val="en-US" w:eastAsia="zh-CN"/>
              </w:rPr>
            </w:pPr>
            <w:r>
              <w:rPr>
                <w:rFonts w:hint="eastAsia" w:ascii="仿宋" w:hAnsi="仿宋" w:eastAsia="仿宋" w:cs="仿宋"/>
                <w:kern w:val="0"/>
                <w:sz w:val="24"/>
                <w:szCs w:val="24"/>
                <w:lang w:val="en-US" w:eastAsia="zh-CN"/>
              </w:rPr>
              <w:t>144</w:t>
            </w:r>
          </w:p>
        </w:tc>
      </w:tr>
      <w:tr w14:paraId="56784A1E">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26" w:hRule="atLeast"/>
        </w:trPr>
        <w:tc>
          <w:tcPr>
            <w:tcW w:w="9737" w:type="dxa"/>
            <w:gridSpan w:val="8"/>
            <w:tcBorders>
              <w:tl2br w:val="nil"/>
              <w:tr2bl w:val="nil"/>
            </w:tcBorders>
          </w:tcPr>
          <w:p w14:paraId="36BE54F2">
            <w:pPr>
              <w:jc w:val="center"/>
              <w:rPr>
                <w:rFonts w:hint="eastAsia" w:ascii="仿宋" w:hAnsi="仿宋" w:eastAsia="仿宋" w:cs="仿宋"/>
                <w:kern w:val="0"/>
                <w:sz w:val="24"/>
                <w:szCs w:val="24"/>
              </w:rPr>
            </w:pPr>
            <w:r>
              <w:rPr>
                <w:rFonts w:hint="eastAsia" w:ascii="仿宋" w:hAnsi="仿宋" w:eastAsia="仿宋" w:cs="仿宋"/>
                <w:b/>
                <w:sz w:val="24"/>
                <w:szCs w:val="24"/>
              </w:rPr>
              <w:t>典型工作任务描述</w:t>
            </w:r>
          </w:p>
        </w:tc>
      </w:tr>
      <w:tr w14:paraId="33093864">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9737" w:type="dxa"/>
            <w:gridSpan w:val="8"/>
            <w:tcBorders>
              <w:tl2br w:val="nil"/>
              <w:tr2bl w:val="nil"/>
            </w:tcBorders>
          </w:tcPr>
          <w:p w14:paraId="3F057575">
            <w:pPr>
              <w:spacing w:line="360" w:lineRule="auto"/>
              <w:rPr>
                <w:rFonts w:hint="eastAsia" w:ascii="仿宋" w:hAnsi="仿宋" w:eastAsia="仿宋" w:cs="仿宋"/>
                <w:bCs/>
                <w:szCs w:val="21"/>
              </w:rPr>
            </w:pPr>
            <w:r>
              <w:rPr>
                <w:rFonts w:hint="eastAsia" w:ascii="仿宋" w:hAnsi="仿宋" w:eastAsia="仿宋" w:cs="仿宋"/>
                <w:bCs/>
                <w:szCs w:val="21"/>
              </w:rPr>
              <w:t>数据标注是根据数据标注验收标准和目标领域、应用场景需求，通过数据标注软件对数据集进行实体、关系、分类、事件、关键点等不同方式的标注，经定量抽检后输出标签文件的工作，包括文本类、图像类、视频类、语音类等非结构化数据的标注。</w:t>
            </w:r>
          </w:p>
          <w:p w14:paraId="056A2EC0">
            <w:pPr>
              <w:spacing w:line="360" w:lineRule="auto"/>
              <w:rPr>
                <w:rFonts w:hint="eastAsia" w:ascii="仿宋" w:hAnsi="仿宋" w:eastAsia="仿宋" w:cs="仿宋"/>
                <w:bCs/>
                <w:szCs w:val="21"/>
              </w:rPr>
            </w:pPr>
            <w:r>
              <w:rPr>
                <w:rFonts w:hint="eastAsia" w:ascii="仿宋" w:hAnsi="仿宋" w:eastAsia="仿宋" w:cs="仿宋"/>
                <w:bCs/>
                <w:szCs w:val="21"/>
              </w:rPr>
              <w:t>数据标注是传统制造升级为智能制造、信息计算升级为人工智能的必要环节，机器并不能理解原始数据，这些原始数据需要人为的“标签化”，通过标注，赋予这些数据能够被机器所识别的特性，才可以被用于训练，正是依据这些大量而有效的数据总结规律，机器和人工智能才能最终形成自己的工作模式，标注质量直接决定着机器智能化的程度。由于工作难度不高，在基础层企业中，主要由初级工或中级工水平的技术人员独立或团队合作完成。</w:t>
            </w:r>
          </w:p>
          <w:p w14:paraId="63966459">
            <w:pPr>
              <w:spacing w:line="360" w:lineRule="auto"/>
              <w:rPr>
                <w:rFonts w:hint="eastAsia" w:ascii="仿宋" w:hAnsi="仿宋" w:eastAsia="仿宋" w:cs="仿宋"/>
                <w:bCs/>
                <w:szCs w:val="21"/>
              </w:rPr>
            </w:pPr>
            <w:r>
              <w:rPr>
                <w:rFonts w:hint="eastAsia" w:ascii="仿宋" w:hAnsi="仿宋" w:eastAsia="仿宋" w:cs="仿宋"/>
                <w:bCs/>
                <w:szCs w:val="21"/>
              </w:rPr>
              <w:t>数据标注员从项目经理处领取任务后，阅读工作任务单，与用户进行有效的专业沟通，明确工作内容和工期要求；提取并记录数据标注任务的应用场景、需求，标注数量和质量等工作信息；查阅企业交付文件，梳理交付流程和交付标准，确定数据标注交付关键指标；按照规定工期制定部署进度和人员分配计划甘特图，明确标注流程，划分标注子任务并分发；选择并使用合适的工具/平台和设备，严格按照标注流程完成文本数据的词性标注、实体标注、文档属性标注、阅读理解、交互示意标注，图像数据的关键点标注、分类标注、区域标注、图片属性标注，视频数据每一帧中目标对象的标注，音频数据的有效性判断、内容分割、内容转写、任务角色标注、环境场景标注；审核标注数据的准确性和完整性，及时发现、纠正错误，筛选正确数据，输出数据审核报告；编写交付文档，填写工作日志，提交确认完毕的标签数据集给项目经理。</w:t>
            </w:r>
          </w:p>
          <w:p w14:paraId="293EDDDD">
            <w:pPr>
              <w:spacing w:line="360" w:lineRule="auto"/>
              <w:rPr>
                <w:rFonts w:hint="eastAsia" w:ascii="仿宋" w:hAnsi="仿宋" w:eastAsia="仿宋" w:cs="仿宋"/>
                <w:kern w:val="0"/>
                <w:sz w:val="24"/>
                <w:szCs w:val="24"/>
              </w:rPr>
            </w:pPr>
            <w:r>
              <w:rPr>
                <w:rFonts w:hint="eastAsia" w:ascii="仿宋" w:hAnsi="仿宋" w:eastAsia="仿宋" w:cs="仿宋"/>
                <w:bCs/>
                <w:szCs w:val="21"/>
              </w:rPr>
              <w:t>在工作过程中严格遵守《人工智能面向机器学习的数据标注规程》（GB/T42755—2023）等各项国家标准和行业规范以及人工智能从业人员的职业道德规范，遵守企业数据标注项目管理和6S管理规定；具备信息处理、与人交流、交往与合作、解决问题等通用能力，具有安全意识、质量意识、隐私保护意识、耐心细致、精益求精等职业素养。</w:t>
            </w:r>
          </w:p>
        </w:tc>
      </w:tr>
      <w:tr w14:paraId="756AFEA4">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9737" w:type="dxa"/>
            <w:gridSpan w:val="8"/>
            <w:tcBorders>
              <w:tl2br w:val="nil"/>
              <w:tr2bl w:val="nil"/>
            </w:tcBorders>
          </w:tcPr>
          <w:p w14:paraId="15866BFC">
            <w:pPr>
              <w:tabs>
                <w:tab w:val="left" w:pos="2081"/>
              </w:tabs>
              <w:jc w:val="center"/>
              <w:rPr>
                <w:rFonts w:hint="eastAsia" w:ascii="仿宋" w:hAnsi="仿宋" w:eastAsia="仿宋" w:cs="仿宋"/>
                <w:kern w:val="0"/>
                <w:sz w:val="24"/>
                <w:szCs w:val="24"/>
              </w:rPr>
            </w:pPr>
            <w:r>
              <w:rPr>
                <w:rFonts w:hint="eastAsia" w:ascii="仿宋" w:hAnsi="仿宋" w:eastAsia="仿宋" w:cs="仿宋"/>
                <w:b/>
                <w:bCs/>
                <w:kern w:val="0"/>
                <w:sz w:val="24"/>
                <w:szCs w:val="24"/>
              </w:rPr>
              <w:t>工作内容分析</w:t>
            </w:r>
          </w:p>
        </w:tc>
      </w:tr>
      <w:tr w14:paraId="00F911C4">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16" w:hRule="atLeast"/>
        </w:trPr>
        <w:tc>
          <w:tcPr>
            <w:tcW w:w="2595" w:type="dxa"/>
            <w:gridSpan w:val="2"/>
            <w:tcBorders>
              <w:tl2br w:val="nil"/>
              <w:tr2bl w:val="nil"/>
            </w:tcBorders>
          </w:tcPr>
          <w:p w14:paraId="22BB70CC">
            <w:pPr>
              <w:pStyle w:val="14"/>
              <w:spacing w:line="360" w:lineRule="auto"/>
              <w:ind w:firstLine="0" w:firstLineChars="0"/>
              <w:jc w:val="left"/>
              <w:rPr>
                <w:rFonts w:ascii="仿宋" w:hAnsi="仿宋" w:eastAsia="仿宋" w:cs="仿宋"/>
                <w:b/>
                <w:color w:val="000000" w:themeColor="text1"/>
                <w:szCs w:val="21"/>
                <w14:textFill>
                  <w14:solidFill>
                    <w14:schemeClr w14:val="tx1"/>
                  </w14:solidFill>
                </w14:textFill>
              </w:rPr>
            </w:pPr>
            <w:r>
              <w:rPr>
                <w:rFonts w:hint="eastAsia" w:ascii="仿宋" w:hAnsi="仿宋" w:eastAsia="仿宋" w:cs="仿宋"/>
                <w:b/>
                <w:color w:val="000000" w:themeColor="text1"/>
                <w:szCs w:val="21"/>
                <w14:textFill>
                  <w14:solidFill>
                    <w14:schemeClr w14:val="tx1"/>
                  </w14:solidFill>
                </w14:textFill>
              </w:rPr>
              <w:t>工作与学习对象：</w:t>
            </w:r>
          </w:p>
          <w:p w14:paraId="0BE304B9">
            <w:pPr>
              <w:adjustRightInd w:val="0"/>
              <w:snapToGrid w:val="0"/>
              <w:spacing w:line="360" w:lineRule="auto"/>
              <w:rPr>
                <w:rFonts w:ascii="仿宋" w:hAnsi="仿宋" w:eastAsia="仿宋" w:cs="仿宋"/>
                <w:color w:val="000000" w:themeColor="text1"/>
                <w:kern w:val="0"/>
                <w:szCs w:val="21"/>
                <w14:textFill>
                  <w14:solidFill>
                    <w14:schemeClr w14:val="tx1"/>
                  </w14:solidFill>
                </w14:textFill>
              </w:rPr>
            </w:pPr>
            <w:r>
              <w:rPr>
                <w:rFonts w:hint="eastAsia" w:ascii="仿宋" w:hAnsi="仿宋" w:eastAsia="仿宋" w:cs="仿宋"/>
                <w:color w:val="000000" w:themeColor="text1"/>
                <w:kern w:val="0"/>
                <w:szCs w:val="21"/>
                <w14:textFill>
                  <w14:solidFill>
                    <w14:schemeClr w14:val="tx1"/>
                  </w14:solidFill>
                </w14:textFill>
              </w:rPr>
              <w:t>1.【工作任务单的阅读分析】</w:t>
            </w:r>
          </w:p>
          <w:p w14:paraId="1F38F30B">
            <w:pPr>
              <w:adjustRightInd w:val="0"/>
              <w:snapToGrid w:val="0"/>
              <w:spacing w:line="360" w:lineRule="auto"/>
              <w:rPr>
                <w:rFonts w:ascii="仿宋" w:hAnsi="仿宋" w:eastAsia="仿宋" w:cs="仿宋"/>
                <w:color w:val="000000" w:themeColor="text1"/>
                <w:kern w:val="0"/>
                <w:szCs w:val="21"/>
                <w14:textFill>
                  <w14:solidFill>
                    <w14:schemeClr w14:val="tx1"/>
                  </w14:solidFill>
                </w14:textFill>
              </w:rPr>
            </w:pPr>
            <w:r>
              <w:rPr>
                <w:rFonts w:hint="eastAsia" w:ascii="仿宋" w:hAnsi="仿宋" w:eastAsia="仿宋" w:cs="仿宋"/>
                <w:color w:val="000000" w:themeColor="text1"/>
                <w:kern w:val="0"/>
                <w:szCs w:val="21"/>
                <w14:textFill>
                  <w14:solidFill>
                    <w14:schemeClr w14:val="tx1"/>
                  </w14:solidFill>
                </w14:textFill>
              </w:rPr>
              <w:t>工作任务单的阅读分析，与项目经理进行专业沟通，数据标注任务关键工作信息的获取。</w:t>
            </w:r>
          </w:p>
          <w:p w14:paraId="66D0AB8F">
            <w:pPr>
              <w:adjustRightInd w:val="0"/>
              <w:snapToGrid w:val="0"/>
              <w:spacing w:line="360" w:lineRule="auto"/>
              <w:rPr>
                <w:rFonts w:ascii="仿宋" w:hAnsi="仿宋" w:eastAsia="仿宋" w:cs="仿宋"/>
                <w:color w:val="000000" w:themeColor="text1"/>
                <w:kern w:val="0"/>
                <w:szCs w:val="21"/>
                <w14:textFill>
                  <w14:solidFill>
                    <w14:schemeClr w14:val="tx1"/>
                  </w14:solidFill>
                </w14:textFill>
              </w:rPr>
            </w:pPr>
            <w:r>
              <w:rPr>
                <w:rFonts w:hint="eastAsia" w:ascii="仿宋" w:hAnsi="仿宋" w:eastAsia="仿宋" w:cs="仿宋"/>
                <w:color w:val="000000" w:themeColor="text1"/>
                <w:kern w:val="0"/>
                <w:szCs w:val="21"/>
                <w14:textFill>
                  <w14:solidFill>
                    <w14:schemeClr w14:val="tx1"/>
                  </w14:solidFill>
                </w14:textFill>
              </w:rPr>
              <w:t>2.【交付流程及标准的确定】</w:t>
            </w:r>
          </w:p>
          <w:p w14:paraId="6E52807C">
            <w:pPr>
              <w:adjustRightInd w:val="0"/>
              <w:snapToGrid w:val="0"/>
              <w:spacing w:line="360" w:lineRule="auto"/>
              <w:rPr>
                <w:rFonts w:ascii="仿宋" w:hAnsi="仿宋" w:eastAsia="仿宋" w:cs="仿宋"/>
                <w:color w:val="000000" w:themeColor="text1"/>
                <w:kern w:val="0"/>
                <w:szCs w:val="21"/>
                <w14:textFill>
                  <w14:solidFill>
                    <w14:schemeClr w14:val="tx1"/>
                  </w14:solidFill>
                </w14:textFill>
              </w:rPr>
            </w:pPr>
            <w:r>
              <w:rPr>
                <w:rFonts w:hint="eastAsia" w:ascii="仿宋" w:hAnsi="仿宋" w:eastAsia="仿宋" w:cs="仿宋"/>
                <w:color w:val="000000" w:themeColor="text1"/>
                <w:kern w:val="0"/>
                <w:szCs w:val="21"/>
                <w14:textFill>
                  <w14:solidFill>
                    <w14:schemeClr w14:val="tx1"/>
                  </w14:solidFill>
                </w14:textFill>
              </w:rPr>
              <w:t>数据标注技术文件的阅读；标注样本及其使用说明的制定，标注任务交付流程的确定。</w:t>
            </w:r>
          </w:p>
          <w:p w14:paraId="6E1818B2">
            <w:pPr>
              <w:adjustRightInd w:val="0"/>
              <w:snapToGrid w:val="0"/>
              <w:spacing w:line="360" w:lineRule="auto"/>
              <w:rPr>
                <w:rFonts w:ascii="仿宋" w:hAnsi="仿宋" w:eastAsia="仿宋" w:cs="仿宋"/>
                <w:color w:val="000000" w:themeColor="text1"/>
                <w:kern w:val="0"/>
                <w:szCs w:val="21"/>
                <w14:textFill>
                  <w14:solidFill>
                    <w14:schemeClr w14:val="tx1"/>
                  </w14:solidFill>
                </w14:textFill>
              </w:rPr>
            </w:pPr>
            <w:r>
              <w:rPr>
                <w:rFonts w:hint="eastAsia" w:ascii="仿宋" w:hAnsi="仿宋" w:eastAsia="仿宋" w:cs="仿宋"/>
                <w:color w:val="000000" w:themeColor="text1"/>
                <w:kern w:val="0"/>
                <w:szCs w:val="21"/>
                <w14:textFill>
                  <w14:solidFill>
                    <w14:schemeClr w14:val="tx1"/>
                  </w14:solidFill>
                </w14:textFill>
              </w:rPr>
              <w:t>3.【标注业务实施方案的制定】</w:t>
            </w:r>
          </w:p>
          <w:p w14:paraId="2D78440D">
            <w:pPr>
              <w:adjustRightInd w:val="0"/>
              <w:snapToGrid w:val="0"/>
              <w:spacing w:line="360" w:lineRule="auto"/>
              <w:rPr>
                <w:rFonts w:ascii="仿宋" w:hAnsi="仿宋" w:eastAsia="仿宋" w:cs="仿宋"/>
                <w:color w:val="000000" w:themeColor="text1"/>
                <w:kern w:val="0"/>
                <w:szCs w:val="21"/>
                <w14:textFill>
                  <w14:solidFill>
                    <w14:schemeClr w14:val="tx1"/>
                  </w14:solidFill>
                </w14:textFill>
              </w:rPr>
            </w:pPr>
            <w:r>
              <w:rPr>
                <w:rFonts w:hint="eastAsia" w:ascii="仿宋" w:hAnsi="仿宋" w:eastAsia="仿宋" w:cs="仿宋"/>
                <w:color w:val="000000" w:themeColor="text1"/>
                <w:kern w:val="0"/>
                <w:szCs w:val="21"/>
                <w14:textFill>
                  <w14:solidFill>
                    <w14:schemeClr w14:val="tx1"/>
                  </w14:solidFill>
                </w14:textFill>
              </w:rPr>
              <w:t>合理安排标注进度和人员分配计划、标注工具/平台和设备的选择。</w:t>
            </w:r>
          </w:p>
          <w:p w14:paraId="79D76309">
            <w:pPr>
              <w:adjustRightInd w:val="0"/>
              <w:snapToGrid w:val="0"/>
              <w:spacing w:line="360" w:lineRule="auto"/>
              <w:rPr>
                <w:rFonts w:ascii="仿宋" w:hAnsi="仿宋" w:eastAsia="仿宋" w:cs="仿宋"/>
                <w:color w:val="000000" w:themeColor="text1"/>
                <w:kern w:val="0"/>
                <w:szCs w:val="21"/>
                <w14:textFill>
                  <w14:solidFill>
                    <w14:schemeClr w14:val="tx1"/>
                  </w14:solidFill>
                </w14:textFill>
              </w:rPr>
            </w:pPr>
            <w:r>
              <w:rPr>
                <w:rFonts w:hint="eastAsia" w:ascii="仿宋" w:hAnsi="仿宋" w:eastAsia="仿宋" w:cs="仿宋"/>
                <w:color w:val="000000" w:themeColor="text1"/>
                <w:kern w:val="0"/>
                <w:szCs w:val="21"/>
                <w14:textFill>
                  <w14:solidFill>
                    <w14:schemeClr w14:val="tx1"/>
                  </w14:solidFill>
                </w14:textFill>
              </w:rPr>
              <w:t>4.【数据标注任务的实施】</w:t>
            </w:r>
          </w:p>
          <w:p w14:paraId="56FF58F0">
            <w:pPr>
              <w:adjustRightInd w:val="0"/>
              <w:snapToGrid w:val="0"/>
              <w:spacing w:line="360" w:lineRule="auto"/>
              <w:rPr>
                <w:rFonts w:ascii="仿宋" w:hAnsi="仿宋" w:eastAsia="仿宋" w:cs="仿宋"/>
                <w:color w:val="000000" w:themeColor="text1"/>
                <w:kern w:val="0"/>
                <w:szCs w:val="21"/>
                <w14:textFill>
                  <w14:solidFill>
                    <w14:schemeClr w14:val="tx1"/>
                  </w14:solidFill>
                </w14:textFill>
              </w:rPr>
            </w:pPr>
            <w:r>
              <w:rPr>
                <w:rFonts w:hint="eastAsia" w:ascii="仿宋" w:hAnsi="仿宋" w:eastAsia="仿宋" w:cs="仿宋"/>
                <w:color w:val="000000" w:themeColor="text1"/>
                <w:kern w:val="0"/>
                <w:szCs w:val="21"/>
                <w14:textFill>
                  <w14:solidFill>
                    <w14:schemeClr w14:val="tx1"/>
                  </w14:solidFill>
                </w14:textFill>
              </w:rPr>
              <w:t>数据命名和格式的批量转换；标注软件的安装及参数配置；文本类、图像类、视频类、音频类等数据的标注。</w:t>
            </w:r>
          </w:p>
          <w:p w14:paraId="1D03D504">
            <w:pPr>
              <w:adjustRightInd w:val="0"/>
              <w:snapToGrid w:val="0"/>
              <w:spacing w:line="360" w:lineRule="auto"/>
              <w:rPr>
                <w:rFonts w:ascii="仿宋" w:hAnsi="仿宋" w:eastAsia="仿宋" w:cs="仿宋"/>
                <w:color w:val="000000" w:themeColor="text1"/>
                <w:kern w:val="0"/>
                <w:szCs w:val="21"/>
                <w14:textFill>
                  <w14:solidFill>
                    <w14:schemeClr w14:val="tx1"/>
                  </w14:solidFill>
                </w14:textFill>
              </w:rPr>
            </w:pPr>
            <w:r>
              <w:rPr>
                <w:rFonts w:hint="eastAsia" w:ascii="仿宋" w:hAnsi="仿宋" w:eastAsia="仿宋" w:cs="仿宋"/>
                <w:color w:val="000000" w:themeColor="text1"/>
                <w:kern w:val="0"/>
                <w:szCs w:val="21"/>
                <w14:textFill>
                  <w14:solidFill>
                    <w14:schemeClr w14:val="tx1"/>
                  </w14:solidFill>
                </w14:textFill>
              </w:rPr>
              <w:t>5.【标注结果的质量检验】</w:t>
            </w:r>
          </w:p>
          <w:p w14:paraId="370FCE86">
            <w:pPr>
              <w:adjustRightInd w:val="0"/>
              <w:snapToGrid w:val="0"/>
              <w:spacing w:line="360" w:lineRule="auto"/>
              <w:rPr>
                <w:rFonts w:ascii="仿宋" w:hAnsi="仿宋" w:eastAsia="仿宋" w:cs="仿宋"/>
                <w:color w:val="000000" w:themeColor="text1"/>
                <w:kern w:val="0"/>
                <w:szCs w:val="21"/>
                <w14:textFill>
                  <w14:solidFill>
                    <w14:schemeClr w14:val="tx1"/>
                  </w14:solidFill>
                </w14:textFill>
              </w:rPr>
            </w:pPr>
            <w:r>
              <w:rPr>
                <w:rFonts w:hint="eastAsia" w:ascii="仿宋" w:hAnsi="仿宋" w:eastAsia="仿宋" w:cs="仿宋"/>
                <w:color w:val="000000" w:themeColor="text1"/>
                <w:kern w:val="0"/>
                <w:szCs w:val="21"/>
                <w14:textFill>
                  <w14:solidFill>
                    <w14:schemeClr w14:val="tx1"/>
                  </w14:solidFill>
                </w14:textFill>
              </w:rPr>
              <w:t>数据标注质量检验方法的选择，标注数据的准确性和一致性审核，数据审核报告的输出。</w:t>
            </w:r>
          </w:p>
          <w:p w14:paraId="7472BCE0">
            <w:pPr>
              <w:adjustRightInd w:val="0"/>
              <w:snapToGrid w:val="0"/>
              <w:spacing w:line="360" w:lineRule="auto"/>
              <w:rPr>
                <w:rFonts w:ascii="仿宋" w:hAnsi="仿宋" w:eastAsia="仿宋" w:cs="仿宋"/>
                <w:color w:val="000000" w:themeColor="text1"/>
                <w:kern w:val="0"/>
                <w:szCs w:val="21"/>
                <w14:textFill>
                  <w14:solidFill>
                    <w14:schemeClr w14:val="tx1"/>
                  </w14:solidFill>
                </w14:textFill>
              </w:rPr>
            </w:pPr>
            <w:r>
              <w:rPr>
                <w:rFonts w:hint="eastAsia" w:ascii="仿宋" w:hAnsi="仿宋" w:eastAsia="仿宋" w:cs="仿宋"/>
                <w:color w:val="000000" w:themeColor="text1"/>
                <w:kern w:val="0"/>
                <w:szCs w:val="21"/>
                <w14:textFill>
                  <w14:solidFill>
                    <w14:schemeClr w14:val="tx1"/>
                  </w14:solidFill>
                </w14:textFill>
              </w:rPr>
              <w:t>6.【标注数据终稿的交付】</w:t>
            </w:r>
          </w:p>
          <w:p w14:paraId="0C3E1C86">
            <w:pPr>
              <w:adjustRightInd w:val="0"/>
              <w:snapToGrid w:val="0"/>
              <w:spacing w:line="360" w:lineRule="auto"/>
              <w:ind w:firstLine="210" w:firstLineChars="100"/>
              <w:rPr>
                <w:rFonts w:hint="eastAsia" w:ascii="仿宋" w:hAnsi="仿宋" w:eastAsia="仿宋" w:cs="仿宋"/>
                <w:kern w:val="0"/>
                <w:sz w:val="24"/>
                <w:szCs w:val="24"/>
              </w:rPr>
            </w:pPr>
            <w:r>
              <w:rPr>
                <w:rFonts w:hint="eastAsia" w:ascii="仿宋" w:hAnsi="仿宋" w:eastAsia="仿宋" w:cs="仿宋"/>
                <w:color w:val="000000" w:themeColor="text1"/>
                <w:kern w:val="0"/>
                <w:szCs w:val="21"/>
                <w14:textFill>
                  <w14:solidFill>
                    <w14:schemeClr w14:val="tx1"/>
                  </w14:solidFill>
                </w14:textFill>
              </w:rPr>
              <w:t>标注业务数据终稿的交付与验收。</w:t>
            </w:r>
          </w:p>
        </w:tc>
        <w:tc>
          <w:tcPr>
            <w:tcW w:w="3593" w:type="dxa"/>
            <w:gridSpan w:val="3"/>
            <w:tcBorders>
              <w:tl2br w:val="nil"/>
              <w:tr2bl w:val="nil"/>
            </w:tcBorders>
          </w:tcPr>
          <w:p w14:paraId="2D6A33ED">
            <w:pPr>
              <w:pStyle w:val="14"/>
              <w:spacing w:beforeLines="0" w:afterLines="0" w:line="360" w:lineRule="auto"/>
              <w:ind w:firstLine="0" w:firstLineChars="0"/>
              <w:jc w:val="left"/>
              <w:rPr>
                <w:rFonts w:hint="eastAsia" w:ascii="仿宋" w:hAnsi="仿宋" w:eastAsia="仿宋" w:cs="仿宋"/>
                <w:b/>
                <w:color w:val="000000"/>
                <w:sz w:val="21"/>
                <w:szCs w:val="21"/>
              </w:rPr>
            </w:pPr>
            <w:r>
              <w:rPr>
                <w:rFonts w:hint="eastAsia" w:ascii="仿宋" w:hAnsi="仿宋" w:eastAsia="仿宋" w:cs="仿宋"/>
                <w:b/>
                <w:color w:val="000000"/>
                <w:sz w:val="21"/>
                <w:szCs w:val="21"/>
              </w:rPr>
              <w:t>工具、材料、设备与资料:</w:t>
            </w:r>
          </w:p>
          <w:p w14:paraId="18CA90EB">
            <w:pPr>
              <w:adjustRightInd w:val="0"/>
              <w:snapToGrid w:val="0"/>
              <w:spacing w:beforeLines="0" w:afterLines="0" w:line="360" w:lineRule="auto"/>
              <w:rPr>
                <w:rFonts w:hint="eastAsia" w:ascii="仿宋" w:hAnsi="仿宋" w:eastAsia="仿宋" w:cs="仿宋"/>
                <w:color w:val="000000"/>
                <w:kern w:val="0"/>
                <w:sz w:val="21"/>
                <w:szCs w:val="21"/>
              </w:rPr>
            </w:pPr>
            <w:r>
              <w:rPr>
                <w:rFonts w:hint="eastAsia" w:ascii="仿宋" w:hAnsi="仿宋" w:eastAsia="仿宋" w:cs="仿宋"/>
                <w:color w:val="000000"/>
                <w:kern w:val="0"/>
                <w:sz w:val="21"/>
                <w:szCs w:val="21"/>
              </w:rPr>
              <w:t>工具：Excel/亿图软件、数据标注工具/平台软件（LabelImg、Labelbee、Doccano、Praat标注软件等）、Python、PyCharm/Jupyter Lab等</w:t>
            </w:r>
          </w:p>
          <w:p w14:paraId="1A1D77C0">
            <w:pPr>
              <w:adjustRightInd w:val="0"/>
              <w:snapToGrid w:val="0"/>
              <w:spacing w:beforeLines="0" w:afterLines="0" w:line="360" w:lineRule="auto"/>
              <w:rPr>
                <w:rFonts w:hint="eastAsia" w:ascii="仿宋" w:hAnsi="仿宋" w:eastAsia="仿宋" w:cs="仿宋"/>
                <w:color w:val="000000"/>
                <w:kern w:val="0"/>
                <w:sz w:val="21"/>
                <w:szCs w:val="21"/>
              </w:rPr>
            </w:pPr>
            <w:r>
              <w:rPr>
                <w:rFonts w:hint="eastAsia" w:ascii="仿宋" w:hAnsi="仿宋" w:eastAsia="仿宋" w:cs="仿宋"/>
                <w:color w:val="000000"/>
                <w:kern w:val="0"/>
                <w:sz w:val="21"/>
                <w:szCs w:val="21"/>
              </w:rPr>
              <w:t>材料：图像数据集、语音数据集、文本数据集、视频数据集等</w:t>
            </w:r>
          </w:p>
          <w:p w14:paraId="306FBDE7">
            <w:pPr>
              <w:adjustRightInd w:val="0"/>
              <w:snapToGrid w:val="0"/>
              <w:spacing w:beforeLines="0" w:afterLines="0" w:line="360" w:lineRule="auto"/>
              <w:rPr>
                <w:rFonts w:hint="eastAsia" w:ascii="仿宋" w:hAnsi="仿宋" w:eastAsia="仿宋" w:cs="仿宋"/>
                <w:color w:val="000000"/>
                <w:kern w:val="0"/>
                <w:sz w:val="21"/>
                <w:szCs w:val="21"/>
              </w:rPr>
            </w:pPr>
            <w:r>
              <w:rPr>
                <w:rFonts w:hint="eastAsia" w:ascii="仿宋" w:hAnsi="仿宋" w:eastAsia="仿宋" w:cs="仿宋"/>
                <w:color w:val="000000"/>
                <w:kern w:val="0"/>
                <w:sz w:val="21"/>
                <w:szCs w:val="21"/>
              </w:rPr>
              <w:t>设备：计算机</w:t>
            </w:r>
          </w:p>
          <w:p w14:paraId="2D5C8421">
            <w:pPr>
              <w:adjustRightInd w:val="0"/>
              <w:snapToGrid w:val="0"/>
              <w:spacing w:beforeLines="0" w:afterLines="0" w:line="360" w:lineRule="auto"/>
              <w:rPr>
                <w:rFonts w:hint="eastAsia" w:ascii="仿宋" w:hAnsi="仿宋" w:eastAsia="仿宋" w:cs="仿宋"/>
                <w:color w:val="000000"/>
                <w:kern w:val="0"/>
                <w:sz w:val="21"/>
                <w:szCs w:val="21"/>
              </w:rPr>
            </w:pPr>
            <w:r>
              <w:rPr>
                <w:rFonts w:hint="eastAsia" w:ascii="仿宋" w:hAnsi="仿宋" w:eastAsia="仿宋" w:cs="仿宋"/>
                <w:color w:val="000000"/>
                <w:kern w:val="0"/>
                <w:sz w:val="21"/>
                <w:szCs w:val="21"/>
              </w:rPr>
              <w:t>资料：工作任务单、设备/工具材料清单、中国电子工业标准化技术协会《人工智能 面向机器学习的数据标注规程》（GB/T 42755—2023）、数据标注安全管理规范、标注工具/平台的使用指南、数据标注质量审核的标准、企业文件资料管理规范、数据标注交付项目管理规范等</w:t>
            </w:r>
          </w:p>
          <w:p w14:paraId="109FC8D4">
            <w:pPr>
              <w:adjustRightInd w:val="0"/>
              <w:snapToGrid w:val="0"/>
              <w:spacing w:beforeLines="0" w:afterLines="0" w:line="360" w:lineRule="auto"/>
              <w:rPr>
                <w:rFonts w:hint="eastAsia" w:ascii="仿宋" w:hAnsi="仿宋" w:eastAsia="仿宋" w:cs="仿宋"/>
                <w:color w:val="000000"/>
                <w:kern w:val="0"/>
                <w:sz w:val="21"/>
                <w:szCs w:val="21"/>
              </w:rPr>
            </w:pPr>
            <w:r>
              <w:rPr>
                <w:rFonts w:hint="eastAsia" w:ascii="仿宋" w:hAnsi="仿宋" w:eastAsia="仿宋" w:cs="仿宋"/>
                <w:color w:val="000000"/>
                <w:kern w:val="0"/>
                <w:sz w:val="21"/>
                <w:szCs w:val="21"/>
              </w:rPr>
              <w:t>工作方法：</w:t>
            </w:r>
          </w:p>
          <w:p w14:paraId="0EE13861">
            <w:pPr>
              <w:adjustRightInd w:val="0"/>
              <w:snapToGrid w:val="0"/>
              <w:spacing w:beforeLines="0" w:afterLines="0" w:line="360" w:lineRule="auto"/>
              <w:rPr>
                <w:rFonts w:hint="eastAsia" w:ascii="仿宋" w:hAnsi="仿宋" w:eastAsia="仿宋" w:cs="仿宋"/>
                <w:color w:val="000000"/>
                <w:kern w:val="0"/>
                <w:sz w:val="21"/>
                <w:szCs w:val="21"/>
              </w:rPr>
            </w:pPr>
            <w:r>
              <w:rPr>
                <w:rFonts w:hint="eastAsia" w:ascii="仿宋" w:hAnsi="仿宋" w:eastAsia="仿宋" w:cs="仿宋"/>
                <w:color w:val="000000"/>
                <w:kern w:val="0"/>
                <w:sz w:val="21"/>
                <w:szCs w:val="21"/>
              </w:rPr>
              <w:t>获取信息的阅读方法、询问法、网络法；整理信息的关键词法、图示法；计划编制的甘特图法/里程碑图法/项目进度网络图法；标注任务的划分及创建方法；标注活动持续时间的估算方法；标注平台环境搭建的方法；标注工具/平台的安装方法；文本/图像/视频/语音数据标注的方法；数据审核标准的制定方法；标注数据质量检查的方法；标注数据的分析/筛选方法；数据集存储方法；数据标注审核报告的制定方法；交付文档的编写方法；与人交流的讲解法、演示法。</w:t>
            </w:r>
          </w:p>
          <w:p w14:paraId="7DE2A4E8">
            <w:pPr>
              <w:adjustRightInd w:val="0"/>
              <w:snapToGrid w:val="0"/>
              <w:spacing w:beforeLines="0" w:afterLines="0" w:line="360" w:lineRule="auto"/>
              <w:rPr>
                <w:rFonts w:hint="eastAsia" w:ascii="仿宋" w:hAnsi="仿宋" w:eastAsia="仿宋" w:cs="仿宋"/>
                <w:color w:val="000000"/>
                <w:kern w:val="0"/>
                <w:sz w:val="21"/>
                <w:szCs w:val="21"/>
              </w:rPr>
            </w:pPr>
            <w:r>
              <w:rPr>
                <w:rFonts w:hint="eastAsia" w:ascii="仿宋" w:hAnsi="仿宋" w:eastAsia="仿宋" w:cs="仿宋"/>
                <w:color w:val="000000"/>
                <w:kern w:val="0"/>
                <w:sz w:val="21"/>
                <w:szCs w:val="21"/>
              </w:rPr>
              <w:t>劳动组织方式：</w:t>
            </w:r>
          </w:p>
          <w:p w14:paraId="79A24832">
            <w:pPr>
              <w:pStyle w:val="2"/>
              <w:rPr>
                <w:rFonts w:hint="eastAsia" w:ascii="仿宋" w:hAnsi="仿宋" w:eastAsia="仿宋" w:cs="仿宋"/>
                <w:color w:val="000000" w:themeColor="text1"/>
                <w:kern w:val="0"/>
                <w:szCs w:val="21"/>
                <w14:textFill>
                  <w14:solidFill>
                    <w14:schemeClr w14:val="tx1"/>
                  </w14:solidFill>
                </w14:textFill>
              </w:rPr>
            </w:pPr>
            <w:r>
              <w:rPr>
                <w:rFonts w:hint="eastAsia" w:ascii="仿宋" w:hAnsi="仿宋" w:eastAsia="仿宋" w:cs="仿宋"/>
                <w:color w:val="000000"/>
                <w:kern w:val="0"/>
                <w:sz w:val="21"/>
                <w:szCs w:val="21"/>
              </w:rPr>
              <w:t>以独立或合作的方式进行。从项目经理处领取工作任务，与项目经理沟通获取数据标注工作所需信息；数据标注过程中，必要时与项目经理对遇到的问题进行沟通；向项目经理提交数据标注质量审核报告，标签数据集及交付文档。</w:t>
            </w:r>
          </w:p>
        </w:tc>
        <w:tc>
          <w:tcPr>
            <w:tcW w:w="3549" w:type="dxa"/>
            <w:gridSpan w:val="3"/>
            <w:tcBorders>
              <w:tl2br w:val="nil"/>
              <w:tr2bl w:val="nil"/>
            </w:tcBorders>
          </w:tcPr>
          <w:p w14:paraId="437AA841">
            <w:pPr>
              <w:pStyle w:val="14"/>
              <w:spacing w:line="360" w:lineRule="auto"/>
              <w:ind w:firstLine="0" w:firstLineChars="0"/>
              <w:jc w:val="left"/>
              <w:rPr>
                <w:rFonts w:ascii="仿宋" w:hAnsi="仿宋" w:eastAsia="仿宋" w:cs="仿宋"/>
                <w:color w:val="000000" w:themeColor="text1"/>
                <w:kern w:val="0"/>
                <w:szCs w:val="21"/>
                <w14:textFill>
                  <w14:solidFill>
                    <w14:schemeClr w14:val="tx1"/>
                  </w14:solidFill>
                </w14:textFill>
              </w:rPr>
            </w:pPr>
            <w:r>
              <w:rPr>
                <w:rFonts w:hint="eastAsia" w:ascii="仿宋" w:hAnsi="仿宋" w:eastAsia="仿宋" w:cs="仿宋"/>
                <w:b/>
                <w:color w:val="000000" w:themeColor="text1"/>
                <w:szCs w:val="21"/>
                <w14:textFill>
                  <w14:solidFill>
                    <w14:schemeClr w14:val="tx1"/>
                  </w14:solidFill>
                </w14:textFill>
              </w:rPr>
              <w:t>工作要求</w:t>
            </w:r>
            <w:r>
              <w:rPr>
                <w:rFonts w:hint="eastAsia" w:ascii="仿宋" w:hAnsi="仿宋" w:eastAsia="仿宋" w:cs="仿宋"/>
                <w:color w:val="000000" w:themeColor="text1"/>
                <w:kern w:val="0"/>
                <w:szCs w:val="21"/>
                <w14:textFill>
                  <w14:solidFill>
                    <w14:schemeClr w14:val="tx1"/>
                  </w14:solidFill>
                </w14:textFill>
              </w:rPr>
              <w:t>：</w:t>
            </w:r>
          </w:p>
          <w:p w14:paraId="5395ABBD">
            <w:pPr>
              <w:adjustRightInd w:val="0"/>
              <w:snapToGrid w:val="0"/>
              <w:spacing w:line="360" w:lineRule="auto"/>
              <w:rPr>
                <w:rFonts w:ascii="仿宋" w:hAnsi="仿宋" w:eastAsia="仿宋" w:cs="仿宋"/>
                <w:color w:val="000000" w:themeColor="text1"/>
                <w:kern w:val="0"/>
                <w:szCs w:val="21"/>
                <w14:textFill>
                  <w14:solidFill>
                    <w14:schemeClr w14:val="tx1"/>
                  </w14:solidFill>
                </w14:textFill>
              </w:rPr>
            </w:pPr>
            <w:r>
              <w:rPr>
                <w:rFonts w:hint="eastAsia" w:ascii="仿宋" w:hAnsi="仿宋" w:eastAsia="仿宋" w:cs="仿宋"/>
                <w:color w:val="000000" w:themeColor="text1"/>
                <w:kern w:val="0"/>
                <w:szCs w:val="21"/>
                <w14:textFill>
                  <w14:solidFill>
                    <w14:schemeClr w14:val="tx1"/>
                  </w14:solidFill>
                </w14:textFill>
              </w:rPr>
              <w:t>1.读懂工作任务单，明确工作内容和工期要求，明确数据标注任务的应用场景，获取和记录数据标注任务的标注内容、标注数量、标注范围等工作信息，要求记录清晰、明确、具体，具备与人交流的能力。</w:t>
            </w:r>
          </w:p>
          <w:p w14:paraId="2FEA619B">
            <w:pPr>
              <w:adjustRightInd w:val="0"/>
              <w:snapToGrid w:val="0"/>
              <w:spacing w:line="360" w:lineRule="auto"/>
              <w:rPr>
                <w:rFonts w:ascii="仿宋" w:hAnsi="仿宋" w:eastAsia="仿宋" w:cs="仿宋"/>
                <w:color w:val="000000" w:themeColor="text1"/>
                <w:kern w:val="0"/>
                <w:szCs w:val="21"/>
                <w14:textFill>
                  <w14:solidFill>
                    <w14:schemeClr w14:val="tx1"/>
                  </w14:solidFill>
                </w14:textFill>
              </w:rPr>
            </w:pPr>
            <w:r>
              <w:rPr>
                <w:rFonts w:hint="eastAsia" w:ascii="仿宋" w:hAnsi="仿宋" w:eastAsia="仿宋" w:cs="仿宋"/>
                <w:color w:val="000000" w:themeColor="text1"/>
                <w:kern w:val="0"/>
                <w:szCs w:val="21"/>
                <w14:textFill>
                  <w14:solidFill>
                    <w14:schemeClr w14:val="tx1"/>
                  </w14:solidFill>
                </w14:textFill>
              </w:rPr>
              <w:t>2.查阅中国电子工业标准化技术协会《人工智能面向机器学习的数据标注规程》（GB/T42755—2023）、数据标注安全管理规范、数据标注质量审核的标准、企业文件资料管理规范、数据标注交付项目管理规范等资料并梳理关键信息，明确数据标注任务的交付流程及标准，制定标注样本及使用说明，具备信息处理能力。</w:t>
            </w:r>
          </w:p>
          <w:p w14:paraId="4DAF3905">
            <w:pPr>
              <w:adjustRightInd w:val="0"/>
              <w:snapToGrid w:val="0"/>
              <w:spacing w:line="360" w:lineRule="auto"/>
              <w:rPr>
                <w:rFonts w:ascii="仿宋" w:hAnsi="仿宋" w:eastAsia="仿宋" w:cs="仿宋"/>
                <w:color w:val="000000" w:themeColor="text1"/>
                <w:kern w:val="0"/>
                <w:szCs w:val="21"/>
                <w14:textFill>
                  <w14:solidFill>
                    <w14:schemeClr w14:val="tx1"/>
                  </w14:solidFill>
                </w14:textFill>
              </w:rPr>
            </w:pPr>
            <w:r>
              <w:rPr>
                <w:rFonts w:hint="eastAsia" w:ascii="仿宋" w:hAnsi="仿宋" w:eastAsia="仿宋" w:cs="仿宋"/>
                <w:color w:val="000000" w:themeColor="text1"/>
                <w:kern w:val="0"/>
                <w:szCs w:val="21"/>
                <w14:textFill>
                  <w14:solidFill>
                    <w14:schemeClr w14:val="tx1"/>
                  </w14:solidFill>
                </w14:textFill>
              </w:rPr>
              <w:t>3.按照规定工期，合理安排标注进度和人员分配，确保按时完成任务；合理选用标注/平台工具和设备。</w:t>
            </w:r>
          </w:p>
          <w:p w14:paraId="562B5A1E">
            <w:pPr>
              <w:adjustRightInd w:val="0"/>
              <w:snapToGrid w:val="0"/>
              <w:spacing w:line="360" w:lineRule="auto"/>
              <w:rPr>
                <w:rFonts w:ascii="仿宋" w:hAnsi="仿宋" w:eastAsia="仿宋" w:cs="仿宋"/>
                <w:color w:val="000000" w:themeColor="text1"/>
                <w:kern w:val="0"/>
                <w:szCs w:val="21"/>
                <w14:textFill>
                  <w14:solidFill>
                    <w14:schemeClr w14:val="tx1"/>
                  </w14:solidFill>
                </w14:textFill>
              </w:rPr>
            </w:pPr>
            <w:r>
              <w:rPr>
                <w:rFonts w:hint="eastAsia" w:ascii="仿宋" w:hAnsi="仿宋" w:eastAsia="仿宋" w:cs="仿宋"/>
                <w:color w:val="000000" w:themeColor="text1"/>
                <w:kern w:val="0"/>
                <w:szCs w:val="21"/>
                <w14:textFill>
                  <w14:solidFill>
                    <w14:schemeClr w14:val="tx1"/>
                  </w14:solidFill>
                </w14:textFill>
              </w:rPr>
              <w:t>4.编写程序，完成数据命名和格式的批量转换，正确安装、配置及使用标注工具/平台，按照标注进度及业务数据特征，完成文本数据分词、词性、实体、文档属性、阅读理解、交互示意等方面的标注；完成对图像数据关键点、分类、区域、图片属性等内容的标注；对视频数据抽帧处理，并完成对特定帧中目标对象的标注；完成对音频数据的有效性判断、内容分割、内容转写、任务角色标注、环境场景标注等。在团队合作过程中做到耐心细致，保护数据隐私，具备安全意识、质量意识。</w:t>
            </w:r>
          </w:p>
          <w:p w14:paraId="582D20EA">
            <w:pPr>
              <w:adjustRightInd w:val="0"/>
              <w:snapToGrid w:val="0"/>
              <w:spacing w:line="360" w:lineRule="auto"/>
              <w:rPr>
                <w:rFonts w:ascii="仿宋" w:hAnsi="仿宋" w:eastAsia="仿宋" w:cs="仿宋"/>
                <w:color w:val="000000" w:themeColor="text1"/>
                <w:kern w:val="0"/>
                <w:szCs w:val="21"/>
                <w14:textFill>
                  <w14:solidFill>
                    <w14:schemeClr w14:val="tx1"/>
                  </w14:solidFill>
                </w14:textFill>
              </w:rPr>
            </w:pPr>
            <w:r>
              <w:rPr>
                <w:rFonts w:hint="eastAsia" w:ascii="仿宋" w:hAnsi="仿宋" w:eastAsia="仿宋" w:cs="仿宋"/>
                <w:color w:val="000000" w:themeColor="text1"/>
                <w:kern w:val="0"/>
                <w:szCs w:val="21"/>
                <w14:textFill>
                  <w14:solidFill>
                    <w14:schemeClr w14:val="tx1"/>
                  </w14:solidFill>
                </w14:textFill>
              </w:rPr>
              <w:t>5.标注质量检验过程中注意细节，精益求精，发现异常值和错误标注时能及时纠正，数据审核报告条理清楚、重点突出、图文并茂，工作过程中注意细节，精益求精。</w:t>
            </w:r>
          </w:p>
          <w:p w14:paraId="00C422CD">
            <w:pPr>
              <w:adjustRightInd w:val="0"/>
              <w:snapToGrid w:val="0"/>
              <w:spacing w:line="360" w:lineRule="auto"/>
              <w:ind w:firstLine="210" w:firstLineChars="100"/>
              <w:rPr>
                <w:rFonts w:hint="eastAsia"/>
                <w:lang w:eastAsia="zh-CN"/>
              </w:rPr>
            </w:pPr>
            <w:r>
              <w:rPr>
                <w:rFonts w:hint="eastAsia" w:ascii="仿宋" w:hAnsi="仿宋" w:eastAsia="仿宋" w:cs="仿宋"/>
                <w:color w:val="000000" w:themeColor="text1"/>
                <w:kern w:val="0"/>
                <w:szCs w:val="21"/>
                <w14:textFill>
                  <w14:solidFill>
                    <w14:schemeClr w14:val="tx1"/>
                  </w14:solidFill>
                </w14:textFill>
              </w:rPr>
              <w:t>6.数据标注交付文档提交，满足项目需求的准确率、合格率，通过用户验收。</w:t>
            </w:r>
          </w:p>
        </w:tc>
      </w:tr>
      <w:tr w14:paraId="42BA9A6F">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16" w:hRule="atLeast"/>
        </w:trPr>
        <w:tc>
          <w:tcPr>
            <w:tcW w:w="9737" w:type="dxa"/>
            <w:gridSpan w:val="8"/>
            <w:tcBorders>
              <w:tl2br w:val="nil"/>
              <w:tr2bl w:val="nil"/>
            </w:tcBorders>
            <w:vAlign w:val="center"/>
          </w:tcPr>
          <w:p w14:paraId="26341E83">
            <w:pPr>
              <w:tabs>
                <w:tab w:val="left" w:pos="3139"/>
              </w:tabs>
              <w:jc w:val="center"/>
              <w:rPr>
                <w:rFonts w:hint="eastAsia" w:ascii="仿宋" w:hAnsi="仿宋" w:eastAsia="仿宋" w:cs="仿宋"/>
                <w:bCs/>
                <w:kern w:val="0"/>
                <w:sz w:val="24"/>
                <w:szCs w:val="24"/>
              </w:rPr>
            </w:pPr>
            <w:r>
              <w:rPr>
                <w:rFonts w:hint="eastAsia" w:ascii="仿宋" w:hAnsi="仿宋" w:eastAsia="仿宋" w:cs="仿宋"/>
                <w:b/>
                <w:bCs/>
                <w:color w:val="000000"/>
                <w:kern w:val="0"/>
                <w:sz w:val="24"/>
                <w:szCs w:val="24"/>
                <w:lang w:eastAsia="zh-Hans" w:bidi="ar"/>
              </w:rPr>
              <w:t>课程</w:t>
            </w:r>
            <w:r>
              <w:rPr>
                <w:rFonts w:hint="eastAsia" w:ascii="仿宋" w:hAnsi="仿宋" w:eastAsia="仿宋" w:cs="仿宋"/>
                <w:b/>
                <w:bCs/>
                <w:color w:val="000000"/>
                <w:kern w:val="0"/>
                <w:sz w:val="24"/>
                <w:szCs w:val="24"/>
                <w:lang w:bidi="ar"/>
              </w:rPr>
              <w:t>目标</w:t>
            </w:r>
          </w:p>
        </w:tc>
      </w:tr>
      <w:tr w14:paraId="157E837F">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16" w:hRule="atLeast"/>
        </w:trPr>
        <w:tc>
          <w:tcPr>
            <w:tcW w:w="9737" w:type="dxa"/>
            <w:gridSpan w:val="8"/>
            <w:tcBorders>
              <w:tl2br w:val="nil"/>
              <w:tr2bl w:val="nil"/>
            </w:tcBorders>
            <w:vAlign w:val="center"/>
          </w:tcPr>
          <w:p w14:paraId="12A50E49">
            <w:pPr>
              <w:adjustRightInd w:val="0"/>
              <w:snapToGrid w:val="0"/>
              <w:spacing w:line="360" w:lineRule="auto"/>
              <w:ind w:firstLine="420" w:firstLineChars="200"/>
              <w:rPr>
                <w:rFonts w:ascii="仿宋" w:hAnsi="仿宋" w:eastAsia="仿宋" w:cs="仿宋"/>
                <w:color w:val="000000" w:themeColor="text1"/>
                <w:kern w:val="0"/>
                <w:szCs w:val="21"/>
                <w:lang w:val="en-GB"/>
                <w14:textFill>
                  <w14:solidFill>
                    <w14:schemeClr w14:val="tx1"/>
                  </w14:solidFill>
                </w14:textFill>
              </w:rPr>
            </w:pPr>
            <w:r>
              <w:rPr>
                <w:rFonts w:hint="eastAsia" w:ascii="仿宋" w:hAnsi="仿宋" w:eastAsia="仿宋" w:cs="仿宋"/>
                <w:color w:val="000000" w:themeColor="text1"/>
                <w:kern w:val="0"/>
                <w:szCs w:val="21"/>
                <w:lang w:val="en-GB"/>
                <w14:textFill>
                  <w14:solidFill>
                    <w14:schemeClr w14:val="tx1"/>
                  </w14:solidFill>
                </w14:textFill>
              </w:rPr>
              <w:t>学习完本课程后，学生能胜任满足人工智能应用场景需求的业务数据标注工作任务，包括文本/图像/视频/语音标注的工具/平台安装与配置、文本/图像/视频/语音标注的方法、文本/图像/视频/语音标注的质量检查、标注审核和筛选、编写报告和存储交付等。严格执行作业规范、安全操作规范、企业数据标注项目管理、6S管理规定；具备信息处理、与人交流、交往与合作、解决问题等通用能力，具有安全意识、质量意识、隐私保护意识、耐心细致、精益求精等职业素养，具有诚实守信、劳动精神、工匠精神等思政素养。具体包括：</w:t>
            </w:r>
          </w:p>
          <w:p w14:paraId="6121D26C">
            <w:pPr>
              <w:adjustRightInd w:val="0"/>
              <w:snapToGrid w:val="0"/>
              <w:spacing w:line="360" w:lineRule="auto"/>
              <w:ind w:firstLine="420" w:firstLineChars="200"/>
              <w:rPr>
                <w:rFonts w:ascii="仿宋" w:hAnsi="仿宋" w:eastAsia="仿宋" w:cs="仿宋"/>
                <w:color w:val="000000" w:themeColor="text1"/>
                <w:kern w:val="0"/>
                <w:szCs w:val="21"/>
                <w:lang w:val="en-GB"/>
                <w14:textFill>
                  <w14:solidFill>
                    <w14:schemeClr w14:val="tx1"/>
                  </w14:solidFill>
                </w14:textFill>
              </w:rPr>
            </w:pPr>
            <w:r>
              <w:rPr>
                <w:rFonts w:hint="eastAsia" w:ascii="仿宋" w:hAnsi="仿宋" w:eastAsia="仿宋" w:cs="仿宋"/>
                <w:color w:val="000000" w:themeColor="text1"/>
                <w:kern w:val="0"/>
                <w:szCs w:val="21"/>
                <w:lang w:val="en-GB"/>
                <w14:textFill>
                  <w14:solidFill>
                    <w14:schemeClr w14:val="tx1"/>
                  </w14:solidFill>
                </w14:textFill>
              </w:rPr>
              <w:t>1.能阅读工作任务单，能开展模拟现场访问，与教师进行有效的专业沟通，明确数据标注任务的应用场景，记录人工智能应用场景业务数据的标注内容、标注数量、标注范围、工期要求等工作信息，具备与人交流的能力。</w:t>
            </w:r>
          </w:p>
          <w:p w14:paraId="69925325">
            <w:pPr>
              <w:adjustRightInd w:val="0"/>
              <w:snapToGrid w:val="0"/>
              <w:spacing w:line="360" w:lineRule="auto"/>
              <w:ind w:firstLine="420" w:firstLineChars="200"/>
              <w:rPr>
                <w:rFonts w:ascii="仿宋" w:hAnsi="仿宋" w:eastAsia="仿宋" w:cs="仿宋"/>
                <w:color w:val="000000" w:themeColor="text1"/>
                <w:kern w:val="0"/>
                <w:szCs w:val="21"/>
                <w:lang w:val="en-GB"/>
                <w14:textFill>
                  <w14:solidFill>
                    <w14:schemeClr w14:val="tx1"/>
                  </w14:solidFill>
                </w14:textFill>
              </w:rPr>
            </w:pPr>
            <w:r>
              <w:rPr>
                <w:rFonts w:hint="eastAsia" w:ascii="仿宋" w:hAnsi="仿宋" w:eastAsia="仿宋" w:cs="仿宋"/>
                <w:color w:val="000000" w:themeColor="text1"/>
                <w:kern w:val="0"/>
                <w:szCs w:val="21"/>
                <w:lang w:val="en-GB"/>
                <w14:textFill>
                  <w14:solidFill>
                    <w14:schemeClr w14:val="tx1"/>
                  </w14:solidFill>
                </w14:textFill>
              </w:rPr>
              <w:t>2.能查阅中国电子工业标准化技术协会《人工智能</w:t>
            </w:r>
            <w:r>
              <w:rPr>
                <w:rFonts w:hint="eastAsia" w:ascii="仿宋" w:hAnsi="仿宋" w:eastAsia="仿宋" w:cs="仿宋"/>
                <w:color w:val="000000" w:themeColor="text1"/>
                <w:kern w:val="0"/>
                <w:szCs w:val="21"/>
                <w14:textFill>
                  <w14:solidFill>
                    <w14:schemeClr w14:val="tx1"/>
                  </w14:solidFill>
                </w14:textFill>
              </w:rPr>
              <w:t xml:space="preserve"> </w:t>
            </w:r>
            <w:r>
              <w:rPr>
                <w:rFonts w:hint="eastAsia" w:ascii="仿宋" w:hAnsi="仿宋" w:eastAsia="仿宋" w:cs="仿宋"/>
                <w:color w:val="000000" w:themeColor="text1"/>
                <w:kern w:val="0"/>
                <w:szCs w:val="21"/>
                <w:lang w:val="en-GB"/>
                <w14:textFill>
                  <w14:solidFill>
                    <w14:schemeClr w14:val="tx1"/>
                  </w14:solidFill>
                </w14:textFill>
              </w:rPr>
              <w:t>面向机器学习的数据标注规程》（GB/T42755—2023）、数据标注安全管理规范、数据标注质量审核的标准、企业文件资料管理规范、数据标注项目交付管理规范等资料并梳理关键信息，明确标注任务的交付流程及标准，制定标注样本及其使用说明，具备信息处理能力。</w:t>
            </w:r>
          </w:p>
          <w:p w14:paraId="2D8CB172">
            <w:pPr>
              <w:adjustRightInd w:val="0"/>
              <w:snapToGrid w:val="0"/>
              <w:spacing w:line="360" w:lineRule="auto"/>
              <w:ind w:firstLine="420" w:firstLineChars="200"/>
              <w:rPr>
                <w:rFonts w:ascii="仿宋" w:hAnsi="仿宋" w:eastAsia="仿宋" w:cs="仿宋"/>
                <w:color w:val="000000" w:themeColor="text1"/>
                <w:kern w:val="0"/>
                <w:szCs w:val="21"/>
                <w:lang w:val="en-GB"/>
                <w14:textFill>
                  <w14:solidFill>
                    <w14:schemeClr w14:val="tx1"/>
                  </w14:solidFill>
                </w14:textFill>
              </w:rPr>
            </w:pPr>
            <w:r>
              <w:rPr>
                <w:rFonts w:hint="eastAsia" w:ascii="仿宋" w:hAnsi="仿宋" w:eastAsia="仿宋" w:cs="仿宋"/>
                <w:color w:val="000000" w:themeColor="text1"/>
                <w:kern w:val="0"/>
                <w:szCs w:val="21"/>
                <w:lang w:val="en-GB"/>
                <w14:textFill>
                  <w14:solidFill>
                    <w14:schemeClr w14:val="tx1"/>
                  </w14:solidFill>
                </w14:textFill>
              </w:rPr>
              <w:t>3.能根据数据标注任务的交付流程，制定工期安排，根据任务的复杂程度和标注数据的类型，将数据标注任务分解成多个子任务，确定人员分配计划甘特图；查阅标注工具/平台的使用指南，归纳不同数据标注工具/平台的功能及优缺点，选择合适的数据标注工具/平台及设备，如LabelImg、Labelbee等。</w:t>
            </w:r>
          </w:p>
          <w:p w14:paraId="098037B0">
            <w:pPr>
              <w:adjustRightInd w:val="0"/>
              <w:snapToGrid w:val="0"/>
              <w:spacing w:line="360" w:lineRule="auto"/>
              <w:ind w:firstLine="420" w:firstLineChars="200"/>
              <w:rPr>
                <w:rFonts w:ascii="仿宋" w:hAnsi="仿宋" w:eastAsia="仿宋" w:cs="仿宋"/>
                <w:color w:val="000000" w:themeColor="text1"/>
                <w:kern w:val="0"/>
                <w:szCs w:val="21"/>
                <w:lang w:val="en-GB"/>
                <w14:textFill>
                  <w14:solidFill>
                    <w14:schemeClr w14:val="tx1"/>
                  </w14:solidFill>
                </w14:textFill>
              </w:rPr>
            </w:pPr>
            <w:r>
              <w:rPr>
                <w:rFonts w:hint="eastAsia" w:ascii="仿宋" w:hAnsi="仿宋" w:eastAsia="仿宋" w:cs="仿宋"/>
                <w:color w:val="000000" w:themeColor="text1"/>
                <w:kern w:val="0"/>
                <w:szCs w:val="21"/>
                <w:lang w:val="en-GB"/>
                <w14:textFill>
                  <w14:solidFill>
                    <w14:schemeClr w14:val="tx1"/>
                  </w14:solidFill>
                </w14:textFill>
              </w:rPr>
              <w:t>4.能编写程序，完成数据命名和格式的批量转换，会正确安装、配置及使用标注工具/平台，按照标注进度及业务数据特征，完成文本数据词性、实体、文档属性、阅读理解、交互示意等方面的标注，完成对图像数据关键点、分类、区域、图片属性等内容的标注，对视频数据抽帧处理，并完成对特定帧中目标对象的标注，完成对音频数据的有效性判断、内容分割、内容转写、任务角色标注、环境场景等工作。团队合作过程中需做到耐心细致，保护数据隐私，具备安全意识、质量意识。</w:t>
            </w:r>
          </w:p>
          <w:p w14:paraId="16E5032D">
            <w:pPr>
              <w:adjustRightInd w:val="0"/>
              <w:snapToGrid w:val="0"/>
              <w:spacing w:line="360" w:lineRule="auto"/>
              <w:ind w:firstLine="420" w:firstLineChars="200"/>
              <w:rPr>
                <w:rFonts w:ascii="仿宋" w:hAnsi="仿宋" w:eastAsia="仿宋" w:cs="仿宋"/>
                <w:color w:val="000000" w:themeColor="text1"/>
                <w:kern w:val="0"/>
                <w:szCs w:val="21"/>
                <w:lang w:val="en-GB"/>
                <w14:textFill>
                  <w14:solidFill>
                    <w14:schemeClr w14:val="tx1"/>
                  </w14:solidFill>
                </w14:textFill>
              </w:rPr>
            </w:pPr>
            <w:r>
              <w:rPr>
                <w:rFonts w:hint="eastAsia" w:ascii="仿宋" w:hAnsi="仿宋" w:eastAsia="仿宋" w:cs="仿宋"/>
                <w:color w:val="000000" w:themeColor="text1"/>
                <w:kern w:val="0"/>
                <w:szCs w:val="21"/>
                <w:lang w:val="en-GB"/>
                <w14:textFill>
                  <w14:solidFill>
                    <w14:schemeClr w14:val="tx1"/>
                  </w14:solidFill>
                </w14:textFill>
              </w:rPr>
              <w:t>5.选择合适的质检方法，审核标注数据的准确性和一致性，发现异常值和错误标注时能及时纠正，质检合格后，编写数据审核报告，要求条理清楚、重点突出、图文并茂，工作过程中注意细节，精益求精。</w:t>
            </w:r>
          </w:p>
          <w:p w14:paraId="36815108">
            <w:pPr>
              <w:adjustRightInd w:val="0"/>
              <w:snapToGrid w:val="0"/>
              <w:spacing w:line="360" w:lineRule="auto"/>
              <w:ind w:firstLine="210" w:firstLineChars="100"/>
              <w:rPr>
                <w:rFonts w:hint="eastAsia" w:ascii="仿宋" w:hAnsi="仿宋" w:eastAsia="仿宋" w:cs="仿宋"/>
                <w:bCs/>
                <w:kern w:val="0"/>
                <w:sz w:val="24"/>
                <w:szCs w:val="24"/>
              </w:rPr>
            </w:pPr>
            <w:r>
              <w:rPr>
                <w:rFonts w:hint="eastAsia" w:ascii="仿宋" w:hAnsi="仿宋" w:eastAsia="仿宋" w:cs="仿宋"/>
                <w:color w:val="000000" w:themeColor="text1"/>
                <w:kern w:val="0"/>
                <w:szCs w:val="21"/>
                <w:lang w:val="en-GB"/>
                <w14:textFill>
                  <w14:solidFill>
                    <w14:schemeClr w14:val="tx1"/>
                  </w14:solidFill>
                </w14:textFill>
              </w:rPr>
              <w:t>6.能按标注数据的交付方式和格式，将整理好的交付文件移交老师，通过验收，总结、展示汇报数据标注交付的技术要点，分析不足，提出改进和后续数据维护的措施。</w:t>
            </w:r>
          </w:p>
        </w:tc>
      </w:tr>
      <w:tr w14:paraId="514FEA40">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16" w:hRule="atLeast"/>
        </w:trPr>
        <w:tc>
          <w:tcPr>
            <w:tcW w:w="9737" w:type="dxa"/>
            <w:gridSpan w:val="8"/>
            <w:tcBorders>
              <w:tl2br w:val="nil"/>
              <w:tr2bl w:val="nil"/>
            </w:tcBorders>
            <w:vAlign w:val="center"/>
          </w:tcPr>
          <w:p w14:paraId="75BB7EA1">
            <w:pPr>
              <w:tabs>
                <w:tab w:val="left" w:pos="3139"/>
              </w:tabs>
              <w:jc w:val="center"/>
              <w:rPr>
                <w:rFonts w:hint="eastAsia" w:ascii="仿宋" w:hAnsi="仿宋" w:eastAsia="仿宋" w:cs="仿宋"/>
                <w:kern w:val="0"/>
                <w:sz w:val="24"/>
                <w:szCs w:val="24"/>
              </w:rPr>
            </w:pPr>
            <w:r>
              <w:rPr>
                <w:rFonts w:hint="eastAsia" w:ascii="仿宋" w:hAnsi="仿宋" w:eastAsia="仿宋" w:cs="仿宋"/>
                <w:b/>
                <w:bCs/>
                <w:color w:val="000000"/>
                <w:kern w:val="0"/>
                <w:sz w:val="24"/>
                <w:szCs w:val="24"/>
                <w:lang w:bidi="ar"/>
              </w:rPr>
              <w:t>学习内容</w:t>
            </w:r>
          </w:p>
        </w:tc>
      </w:tr>
      <w:tr w14:paraId="3EBBCF47">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16" w:hRule="atLeast"/>
        </w:trPr>
        <w:tc>
          <w:tcPr>
            <w:tcW w:w="9737" w:type="dxa"/>
            <w:gridSpan w:val="8"/>
            <w:tcBorders>
              <w:tl2br w:val="nil"/>
              <w:tr2bl w:val="nil"/>
            </w:tcBorders>
            <w:vAlign w:val="center"/>
          </w:tcPr>
          <w:p w14:paraId="1020F12D">
            <w:pPr>
              <w:adjustRightInd w:val="0"/>
              <w:snapToGrid w:val="0"/>
              <w:spacing w:line="360" w:lineRule="auto"/>
              <w:ind w:firstLine="420" w:firstLineChars="200"/>
              <w:rPr>
                <w:rFonts w:ascii="仿宋" w:hAnsi="仿宋" w:eastAsia="仿宋" w:cs="仿宋"/>
                <w:szCs w:val="21"/>
                <w:lang w:val="en-GB"/>
              </w:rPr>
            </w:pPr>
            <w:r>
              <w:rPr>
                <w:rFonts w:hint="eastAsia" w:ascii="仿宋" w:hAnsi="仿宋" w:eastAsia="仿宋" w:cs="仿宋"/>
                <w:szCs w:val="21"/>
                <w:lang w:val="en-GB"/>
              </w:rPr>
              <w:t>本课程的主要学习内容包括：</w:t>
            </w:r>
          </w:p>
          <w:p w14:paraId="5AD0F96D">
            <w:pPr>
              <w:adjustRightInd w:val="0"/>
              <w:snapToGrid w:val="0"/>
              <w:spacing w:line="360" w:lineRule="auto"/>
              <w:ind w:firstLine="420" w:firstLineChars="200"/>
              <w:rPr>
                <w:rFonts w:ascii="仿宋" w:hAnsi="仿宋" w:eastAsia="仿宋" w:cs="仿宋"/>
                <w:szCs w:val="21"/>
                <w:lang w:val="en-GB"/>
              </w:rPr>
            </w:pPr>
            <w:r>
              <w:rPr>
                <w:rFonts w:hint="eastAsia" w:ascii="仿宋" w:hAnsi="仿宋" w:eastAsia="仿宋" w:cs="仿宋"/>
                <w:szCs w:val="21"/>
                <w:lang w:val="en-GB"/>
              </w:rPr>
              <w:t>一、工作任务单的阅读分析</w:t>
            </w:r>
          </w:p>
          <w:p w14:paraId="1DFDBFA3">
            <w:pPr>
              <w:adjustRightInd w:val="0"/>
              <w:snapToGrid w:val="0"/>
              <w:spacing w:line="360" w:lineRule="auto"/>
              <w:ind w:firstLine="420" w:firstLineChars="200"/>
              <w:rPr>
                <w:rFonts w:ascii="仿宋" w:hAnsi="仿宋" w:eastAsia="仿宋" w:cs="仿宋"/>
                <w:szCs w:val="21"/>
                <w:lang w:val="en-GB"/>
              </w:rPr>
            </w:pPr>
            <w:r>
              <w:rPr>
                <w:rFonts w:hint="eastAsia" w:ascii="仿宋" w:hAnsi="仿宋" w:eastAsia="仿宋" w:cs="仿宋"/>
                <w:szCs w:val="21"/>
                <w:lang w:val="en-GB"/>
              </w:rPr>
              <w:t>实践知识：</w:t>
            </w:r>
          </w:p>
          <w:p w14:paraId="2AAD9F6A">
            <w:pPr>
              <w:adjustRightInd w:val="0"/>
              <w:snapToGrid w:val="0"/>
              <w:spacing w:line="360" w:lineRule="auto"/>
              <w:ind w:firstLine="420" w:firstLineChars="200"/>
              <w:rPr>
                <w:rFonts w:ascii="仿宋" w:hAnsi="仿宋" w:eastAsia="仿宋" w:cs="仿宋"/>
                <w:szCs w:val="21"/>
                <w:lang w:val="en-GB"/>
              </w:rPr>
            </w:pPr>
            <w:r>
              <w:rPr>
                <w:rFonts w:hint="eastAsia" w:ascii="仿宋" w:hAnsi="仿宋" w:eastAsia="仿宋" w:cs="仿宋"/>
                <w:szCs w:val="21"/>
                <w:lang w:val="en-GB"/>
              </w:rPr>
              <w:t>数据标注工作任务单的阅读。</w:t>
            </w:r>
          </w:p>
          <w:p w14:paraId="61C97F1F">
            <w:pPr>
              <w:adjustRightInd w:val="0"/>
              <w:snapToGrid w:val="0"/>
              <w:spacing w:line="360" w:lineRule="auto"/>
              <w:ind w:firstLine="420" w:firstLineChars="200"/>
              <w:rPr>
                <w:rFonts w:ascii="仿宋" w:hAnsi="仿宋" w:eastAsia="仿宋" w:cs="仿宋"/>
                <w:szCs w:val="21"/>
                <w:lang w:val="en-GB"/>
              </w:rPr>
            </w:pPr>
            <w:r>
              <w:rPr>
                <w:rFonts w:hint="eastAsia" w:ascii="仿宋" w:hAnsi="仿宋" w:eastAsia="仿宋" w:cs="仿宋"/>
                <w:szCs w:val="21"/>
                <w:lang w:val="en-GB"/>
              </w:rPr>
              <w:t>数据标注任务的应用场景、标注内容、标注数量、标注范围、工期要求等关键工作信息的提取与记录。</w:t>
            </w:r>
          </w:p>
          <w:p w14:paraId="0A1EAB65">
            <w:pPr>
              <w:adjustRightInd w:val="0"/>
              <w:snapToGrid w:val="0"/>
              <w:spacing w:line="360" w:lineRule="auto"/>
              <w:ind w:firstLine="420" w:firstLineChars="200"/>
              <w:rPr>
                <w:rFonts w:ascii="仿宋" w:hAnsi="仿宋" w:eastAsia="仿宋" w:cs="仿宋"/>
                <w:szCs w:val="21"/>
                <w:lang w:val="en-GB"/>
              </w:rPr>
            </w:pPr>
            <w:r>
              <w:rPr>
                <w:rFonts w:hint="eastAsia" w:ascii="仿宋" w:hAnsi="仿宋" w:eastAsia="仿宋" w:cs="仿宋"/>
                <w:szCs w:val="21"/>
                <w:lang w:val="en-GB"/>
              </w:rPr>
              <w:t>理论知识：</w:t>
            </w:r>
          </w:p>
          <w:p w14:paraId="55A20114">
            <w:pPr>
              <w:adjustRightInd w:val="0"/>
              <w:snapToGrid w:val="0"/>
              <w:spacing w:line="360" w:lineRule="auto"/>
              <w:ind w:firstLine="420" w:firstLineChars="200"/>
              <w:rPr>
                <w:rFonts w:ascii="仿宋" w:hAnsi="仿宋" w:eastAsia="仿宋" w:cs="仿宋"/>
                <w:szCs w:val="21"/>
                <w:lang w:val="en-GB"/>
              </w:rPr>
            </w:pPr>
            <w:r>
              <w:rPr>
                <w:rFonts w:hint="eastAsia" w:ascii="仿宋" w:hAnsi="仿宋" w:eastAsia="仿宋" w:cs="仿宋"/>
                <w:szCs w:val="21"/>
                <w:lang w:val="en-GB"/>
              </w:rPr>
              <w:t>数据标注的概念；标签的概念；数据标注的目的及意义；数据标注的业务场景；数据标注样本平衡性分析的概念及指标（数据量级、用途）。</w:t>
            </w:r>
          </w:p>
          <w:p w14:paraId="43104FBB">
            <w:pPr>
              <w:adjustRightInd w:val="0"/>
              <w:snapToGrid w:val="0"/>
              <w:spacing w:line="360" w:lineRule="auto"/>
              <w:ind w:firstLine="420" w:firstLineChars="200"/>
              <w:rPr>
                <w:rFonts w:ascii="仿宋" w:hAnsi="仿宋" w:eastAsia="仿宋" w:cs="仿宋"/>
                <w:szCs w:val="21"/>
                <w:lang w:val="en-GB"/>
              </w:rPr>
            </w:pPr>
            <w:r>
              <w:rPr>
                <w:rFonts w:hint="eastAsia" w:ascii="仿宋" w:hAnsi="仿宋" w:eastAsia="仿宋" w:cs="仿宋"/>
                <w:szCs w:val="21"/>
                <w:lang w:val="en-GB"/>
              </w:rPr>
              <w:t>二、交付流程及标准的确定</w:t>
            </w:r>
          </w:p>
          <w:p w14:paraId="63CF8F40">
            <w:pPr>
              <w:adjustRightInd w:val="0"/>
              <w:snapToGrid w:val="0"/>
              <w:spacing w:line="360" w:lineRule="auto"/>
              <w:ind w:firstLine="420" w:firstLineChars="200"/>
              <w:rPr>
                <w:rFonts w:ascii="仿宋" w:hAnsi="仿宋" w:eastAsia="仿宋" w:cs="仿宋"/>
                <w:szCs w:val="21"/>
                <w:lang w:val="en-GB"/>
              </w:rPr>
            </w:pPr>
            <w:r>
              <w:rPr>
                <w:rFonts w:hint="eastAsia" w:ascii="仿宋" w:hAnsi="仿宋" w:eastAsia="仿宋" w:cs="仿宋"/>
                <w:szCs w:val="21"/>
                <w:lang w:val="en-GB"/>
              </w:rPr>
              <w:t>实践知识：</w:t>
            </w:r>
          </w:p>
          <w:p w14:paraId="2CB76DAE">
            <w:pPr>
              <w:adjustRightInd w:val="0"/>
              <w:snapToGrid w:val="0"/>
              <w:spacing w:line="360" w:lineRule="auto"/>
              <w:ind w:firstLine="420" w:firstLineChars="200"/>
              <w:rPr>
                <w:rFonts w:ascii="仿宋" w:hAnsi="仿宋" w:eastAsia="仿宋" w:cs="仿宋"/>
                <w:szCs w:val="21"/>
                <w:lang w:val="en-GB"/>
              </w:rPr>
            </w:pPr>
            <w:r>
              <w:rPr>
                <w:rFonts w:hint="eastAsia" w:ascii="仿宋" w:hAnsi="仿宋" w:eastAsia="仿宋" w:cs="仿宋"/>
                <w:szCs w:val="21"/>
                <w:lang w:val="en-GB"/>
              </w:rPr>
              <w:t>中国电子工业标准化技术协会《人工智能面向机器学习的数据标注规程》（GB/T 42755—2023）、数据标注安全管理规范等文件的使用；</w:t>
            </w:r>
          </w:p>
          <w:p w14:paraId="13F7877A">
            <w:pPr>
              <w:adjustRightInd w:val="0"/>
              <w:snapToGrid w:val="0"/>
              <w:spacing w:line="360" w:lineRule="auto"/>
              <w:ind w:firstLine="420" w:firstLineChars="200"/>
              <w:rPr>
                <w:rFonts w:ascii="仿宋" w:hAnsi="仿宋" w:eastAsia="仿宋" w:cs="仿宋"/>
                <w:szCs w:val="21"/>
                <w:lang w:val="en-GB"/>
              </w:rPr>
            </w:pPr>
            <w:r>
              <w:rPr>
                <w:rFonts w:hint="eastAsia" w:ascii="仿宋" w:hAnsi="仿宋" w:eastAsia="仿宋" w:cs="仿宋"/>
                <w:szCs w:val="21"/>
                <w:lang w:val="en-GB"/>
              </w:rPr>
              <w:t>标注任务交付流程及标准的梳理；标注样本及其使用说明的制定。</w:t>
            </w:r>
          </w:p>
          <w:p w14:paraId="1A150FF1">
            <w:pPr>
              <w:adjustRightInd w:val="0"/>
              <w:snapToGrid w:val="0"/>
              <w:spacing w:line="360" w:lineRule="auto"/>
              <w:ind w:firstLine="420" w:firstLineChars="200"/>
              <w:rPr>
                <w:rFonts w:ascii="仿宋" w:hAnsi="仿宋" w:eastAsia="仿宋" w:cs="仿宋"/>
                <w:szCs w:val="21"/>
                <w:lang w:val="en-GB"/>
              </w:rPr>
            </w:pPr>
            <w:r>
              <w:rPr>
                <w:rFonts w:hint="eastAsia" w:ascii="仿宋" w:hAnsi="仿宋" w:eastAsia="仿宋" w:cs="仿宋"/>
                <w:szCs w:val="21"/>
                <w:lang w:val="en-GB"/>
              </w:rPr>
              <w:t>理论知识：</w:t>
            </w:r>
          </w:p>
          <w:p w14:paraId="35114201">
            <w:pPr>
              <w:adjustRightInd w:val="0"/>
              <w:snapToGrid w:val="0"/>
              <w:spacing w:line="360" w:lineRule="auto"/>
              <w:ind w:firstLine="420" w:firstLineChars="200"/>
              <w:rPr>
                <w:rFonts w:ascii="仿宋" w:hAnsi="仿宋" w:eastAsia="仿宋" w:cs="仿宋"/>
                <w:szCs w:val="21"/>
                <w:lang w:val="en-GB"/>
              </w:rPr>
            </w:pPr>
            <w:r>
              <w:rPr>
                <w:rFonts w:hint="eastAsia" w:ascii="仿宋" w:hAnsi="仿宋" w:eastAsia="仿宋" w:cs="仿宋"/>
                <w:szCs w:val="21"/>
                <w:lang w:val="en-GB"/>
              </w:rPr>
              <w:t>数据标注平台架构；数据标注对象的类型及特性；数据与标签文件的存放与命名规则；数据标注规程的框架；数据标注说明规则的定义及内容。</w:t>
            </w:r>
          </w:p>
          <w:p w14:paraId="721DF5B4">
            <w:pPr>
              <w:adjustRightInd w:val="0"/>
              <w:snapToGrid w:val="0"/>
              <w:spacing w:line="360" w:lineRule="auto"/>
              <w:ind w:firstLine="420" w:firstLineChars="200"/>
              <w:rPr>
                <w:rFonts w:ascii="仿宋" w:hAnsi="仿宋" w:eastAsia="仿宋" w:cs="仿宋"/>
                <w:szCs w:val="21"/>
                <w:lang w:val="en-GB"/>
              </w:rPr>
            </w:pPr>
            <w:r>
              <w:rPr>
                <w:rFonts w:hint="eastAsia" w:ascii="仿宋" w:hAnsi="仿宋" w:eastAsia="仿宋" w:cs="仿宋"/>
                <w:szCs w:val="21"/>
                <w:lang w:val="en-GB"/>
              </w:rPr>
              <w:t>三、标注业务实施方案的制定</w:t>
            </w:r>
          </w:p>
          <w:p w14:paraId="0267F653">
            <w:pPr>
              <w:adjustRightInd w:val="0"/>
              <w:snapToGrid w:val="0"/>
              <w:spacing w:line="360" w:lineRule="auto"/>
              <w:ind w:firstLine="420" w:firstLineChars="200"/>
              <w:rPr>
                <w:rFonts w:ascii="仿宋" w:hAnsi="仿宋" w:eastAsia="仿宋" w:cs="仿宋"/>
                <w:szCs w:val="21"/>
                <w:lang w:val="en-GB"/>
              </w:rPr>
            </w:pPr>
            <w:r>
              <w:rPr>
                <w:rFonts w:hint="eastAsia" w:ascii="仿宋" w:hAnsi="仿宋" w:eastAsia="仿宋" w:cs="仿宋"/>
                <w:szCs w:val="21"/>
                <w:lang w:val="en-GB"/>
              </w:rPr>
              <w:t>实践知识：</w:t>
            </w:r>
          </w:p>
          <w:p w14:paraId="69619269">
            <w:pPr>
              <w:adjustRightInd w:val="0"/>
              <w:snapToGrid w:val="0"/>
              <w:spacing w:line="360" w:lineRule="auto"/>
              <w:ind w:firstLine="420" w:firstLineChars="200"/>
              <w:rPr>
                <w:rFonts w:ascii="仿宋" w:hAnsi="仿宋" w:eastAsia="仿宋" w:cs="仿宋"/>
                <w:szCs w:val="21"/>
                <w:lang w:val="en-GB"/>
              </w:rPr>
            </w:pPr>
            <w:r>
              <w:rPr>
                <w:rFonts w:hint="eastAsia" w:ascii="仿宋" w:hAnsi="仿宋" w:eastAsia="仿宋" w:cs="仿宋"/>
                <w:szCs w:val="21"/>
                <w:lang w:val="en-GB"/>
              </w:rPr>
              <w:t>标注任务的划分及创建（子任务的划分、人力的估算、子任务回收时间的估算）；标注活动持续时间的估算（经验值和专业意见、三点估算法、自上而下估算法）；项目进度计划的制订（甘特图、里程碑图、项目进度网络图）。</w:t>
            </w:r>
          </w:p>
          <w:p w14:paraId="5F3AB231">
            <w:pPr>
              <w:adjustRightInd w:val="0"/>
              <w:snapToGrid w:val="0"/>
              <w:spacing w:line="360" w:lineRule="auto"/>
              <w:ind w:firstLine="420" w:firstLineChars="200"/>
              <w:rPr>
                <w:rFonts w:ascii="仿宋" w:hAnsi="仿宋" w:eastAsia="仿宋" w:cs="仿宋"/>
                <w:szCs w:val="21"/>
                <w:lang w:val="en-GB"/>
              </w:rPr>
            </w:pPr>
            <w:r>
              <w:rPr>
                <w:rFonts w:hint="eastAsia" w:ascii="仿宋" w:hAnsi="仿宋" w:eastAsia="仿宋" w:cs="仿宋"/>
                <w:szCs w:val="21"/>
                <w:lang w:val="en-GB"/>
              </w:rPr>
              <w:t>数据标注工具/平台的分析与选择。</w:t>
            </w:r>
          </w:p>
          <w:p w14:paraId="69D2EFCB">
            <w:pPr>
              <w:adjustRightInd w:val="0"/>
              <w:snapToGrid w:val="0"/>
              <w:spacing w:line="360" w:lineRule="auto"/>
              <w:ind w:firstLine="420" w:firstLineChars="200"/>
              <w:rPr>
                <w:rFonts w:ascii="仿宋" w:hAnsi="仿宋" w:eastAsia="仿宋" w:cs="仿宋"/>
                <w:szCs w:val="21"/>
                <w:lang w:val="en-GB"/>
              </w:rPr>
            </w:pPr>
            <w:r>
              <w:rPr>
                <w:rFonts w:hint="eastAsia" w:ascii="仿宋" w:hAnsi="仿宋" w:eastAsia="仿宋" w:cs="仿宋"/>
                <w:szCs w:val="21"/>
                <w:lang w:val="en-GB"/>
              </w:rPr>
              <w:t>理论知识：</w:t>
            </w:r>
          </w:p>
          <w:p w14:paraId="5C463176">
            <w:pPr>
              <w:adjustRightInd w:val="0"/>
              <w:snapToGrid w:val="0"/>
              <w:spacing w:line="360" w:lineRule="auto"/>
              <w:ind w:firstLine="420" w:firstLineChars="200"/>
              <w:rPr>
                <w:rFonts w:ascii="仿宋" w:hAnsi="仿宋" w:eastAsia="仿宋" w:cs="仿宋"/>
                <w:szCs w:val="21"/>
                <w:lang w:val="en-GB"/>
              </w:rPr>
            </w:pPr>
            <w:r>
              <w:rPr>
                <w:rFonts w:hint="eastAsia" w:ascii="仿宋" w:hAnsi="仿宋" w:eastAsia="仿宋" w:cs="仿宋"/>
                <w:szCs w:val="21"/>
                <w:lang w:val="en-GB"/>
              </w:rPr>
              <w:t>标注任务的相关参数（标注人数、子任务数量、日工作量、重要时间节点）；数据标注的方法类别（全人工标注、半自动标注）。</w:t>
            </w:r>
          </w:p>
          <w:p w14:paraId="0BE4593B">
            <w:pPr>
              <w:adjustRightInd w:val="0"/>
              <w:snapToGrid w:val="0"/>
              <w:spacing w:line="360" w:lineRule="auto"/>
              <w:ind w:firstLine="420" w:firstLineChars="200"/>
              <w:rPr>
                <w:rFonts w:ascii="仿宋" w:hAnsi="仿宋" w:eastAsia="仿宋" w:cs="仿宋"/>
                <w:szCs w:val="21"/>
                <w:lang w:val="en-GB"/>
              </w:rPr>
            </w:pPr>
            <w:r>
              <w:rPr>
                <w:rFonts w:hint="eastAsia" w:ascii="仿宋" w:hAnsi="仿宋" w:eastAsia="仿宋" w:cs="仿宋"/>
                <w:szCs w:val="21"/>
                <w:lang w:val="en-GB"/>
              </w:rPr>
              <w:t>四、数据标注任务的实施</w:t>
            </w:r>
          </w:p>
          <w:p w14:paraId="523FEC59">
            <w:pPr>
              <w:adjustRightInd w:val="0"/>
              <w:snapToGrid w:val="0"/>
              <w:spacing w:line="360" w:lineRule="auto"/>
              <w:ind w:firstLine="420" w:firstLineChars="200"/>
              <w:rPr>
                <w:rFonts w:ascii="仿宋" w:hAnsi="仿宋" w:eastAsia="仿宋" w:cs="仿宋"/>
                <w:szCs w:val="21"/>
                <w:lang w:val="en-GB"/>
              </w:rPr>
            </w:pPr>
            <w:r>
              <w:rPr>
                <w:rFonts w:hint="eastAsia" w:ascii="仿宋" w:hAnsi="仿宋" w:eastAsia="仿宋" w:cs="仿宋"/>
                <w:szCs w:val="21"/>
                <w:lang w:val="en-GB"/>
              </w:rPr>
              <w:t>实践知识：</w:t>
            </w:r>
          </w:p>
          <w:p w14:paraId="795AE9D8">
            <w:pPr>
              <w:adjustRightInd w:val="0"/>
              <w:snapToGrid w:val="0"/>
              <w:spacing w:line="360" w:lineRule="auto"/>
              <w:ind w:firstLine="420" w:firstLineChars="200"/>
              <w:rPr>
                <w:rFonts w:ascii="仿宋" w:hAnsi="仿宋" w:eastAsia="仿宋" w:cs="仿宋"/>
                <w:szCs w:val="21"/>
                <w:lang w:val="en-GB"/>
              </w:rPr>
            </w:pPr>
            <w:r>
              <w:rPr>
                <w:rFonts w:hint="eastAsia" w:ascii="仿宋" w:hAnsi="仿宋" w:eastAsia="仿宋" w:cs="仿宋"/>
                <w:szCs w:val="21"/>
                <w:lang w:val="en-GB"/>
              </w:rPr>
              <w:t>数据标注工具 / 平台（LabelImg、Labelbee、Doccano、Praat 标注软件等）的安装与参数配置；Python、PyCharm/Jupyter</w:t>
            </w:r>
            <w:r>
              <w:rPr>
                <w:rFonts w:hint="eastAsia" w:ascii="仿宋" w:hAnsi="仿宋" w:eastAsia="仿宋" w:cs="仿宋"/>
                <w:szCs w:val="21"/>
              </w:rPr>
              <w:t xml:space="preserve"> </w:t>
            </w:r>
            <w:r>
              <w:rPr>
                <w:rFonts w:hint="eastAsia" w:ascii="仿宋" w:hAnsi="仿宋" w:eastAsia="仿宋" w:cs="仿宋"/>
                <w:szCs w:val="21"/>
                <w:lang w:val="en-GB"/>
              </w:rPr>
              <w:t>Lab 软件的使用；</w:t>
            </w:r>
          </w:p>
          <w:p w14:paraId="2FCA09AB">
            <w:pPr>
              <w:adjustRightInd w:val="0"/>
              <w:snapToGrid w:val="0"/>
              <w:spacing w:line="360" w:lineRule="auto"/>
              <w:ind w:firstLine="420" w:firstLineChars="200"/>
              <w:rPr>
                <w:rFonts w:ascii="仿宋" w:hAnsi="仿宋" w:eastAsia="仿宋" w:cs="仿宋"/>
                <w:szCs w:val="21"/>
                <w:lang w:val="en-GB"/>
              </w:rPr>
            </w:pPr>
            <w:r>
              <w:rPr>
                <w:rFonts w:hint="eastAsia" w:ascii="仿宋" w:hAnsi="仿宋" w:eastAsia="仿宋" w:cs="仿宋"/>
                <w:szCs w:val="21"/>
                <w:lang w:val="en-GB"/>
              </w:rPr>
              <w:t>数据命名及格式的批量转换；文本数据词性标注、实体标注、文档属性标注、阅读理解、交互示意等方面的标注；图像数据关键点、分类、区域、图片属性等内容的标注；视频数据的抽帧及对特定帧中目标对象的标注；音频数据的有效性判断、内容分割、内容转写、任务角色标注、环境场景标注等。</w:t>
            </w:r>
          </w:p>
          <w:p w14:paraId="74E1A4E2">
            <w:pPr>
              <w:adjustRightInd w:val="0"/>
              <w:snapToGrid w:val="0"/>
              <w:spacing w:line="360" w:lineRule="auto"/>
              <w:ind w:firstLine="420" w:firstLineChars="200"/>
              <w:rPr>
                <w:rFonts w:ascii="仿宋" w:hAnsi="仿宋" w:eastAsia="仿宋" w:cs="仿宋"/>
                <w:szCs w:val="21"/>
                <w:lang w:val="en-GB"/>
              </w:rPr>
            </w:pPr>
            <w:r>
              <w:rPr>
                <w:rFonts w:hint="eastAsia" w:ascii="仿宋" w:hAnsi="仿宋" w:eastAsia="仿宋" w:cs="仿宋"/>
                <w:szCs w:val="21"/>
                <w:lang w:val="en-GB"/>
              </w:rPr>
              <w:t>理论知识：</w:t>
            </w:r>
          </w:p>
          <w:p w14:paraId="0F7F620C">
            <w:pPr>
              <w:adjustRightInd w:val="0"/>
              <w:snapToGrid w:val="0"/>
              <w:spacing w:line="360" w:lineRule="auto"/>
              <w:ind w:firstLine="420" w:firstLineChars="200"/>
              <w:rPr>
                <w:rFonts w:ascii="仿宋" w:hAnsi="仿宋" w:eastAsia="仿宋" w:cs="仿宋"/>
                <w:szCs w:val="21"/>
                <w:lang w:val="en-GB"/>
              </w:rPr>
            </w:pPr>
            <w:r>
              <w:rPr>
                <w:rFonts w:hint="eastAsia" w:ascii="仿宋" w:hAnsi="仿宋" w:eastAsia="仿宋" w:cs="仿宋"/>
                <w:szCs w:val="21"/>
                <w:lang w:val="en-GB"/>
              </w:rPr>
              <w:t>图像数据标注类型；图像任务的概念及其与数据标注的关系；图像数据标注的术语（图像编码格式、显示分辨率、位深度、召回率、准确率、边界误差、对象、类别等）；图像数据标注的数据存储格式及交付参数；文本数据标注类型（序列标注、关系标注、属性标注、类别标注等）；文本数据标注交付内容的参数；视频数据标注相关术语（对象、类别、帧、跨帧追踪、全局属性、单帧属性、属性配置等）；视频数据标注交付内容的参数；声音的特征（音色、音调、音强、音长）；数字化音频信号的概念及其传输的关键参数（采样率、量化位数、声音通道数、语音编码格式）；音频标注任务分类；音频数据异常的种类及定义（丢帧、切音、吞音、喷麦、重音、空旷音、混响）；音频数据的基本标注规范；音频数据标注的交付参数。</w:t>
            </w:r>
          </w:p>
          <w:p w14:paraId="24E12839">
            <w:pPr>
              <w:adjustRightInd w:val="0"/>
              <w:snapToGrid w:val="0"/>
              <w:spacing w:line="360" w:lineRule="auto"/>
              <w:ind w:firstLine="420" w:firstLineChars="200"/>
              <w:rPr>
                <w:rFonts w:ascii="仿宋" w:hAnsi="仿宋" w:eastAsia="仿宋" w:cs="仿宋"/>
                <w:szCs w:val="21"/>
                <w:lang w:val="en-GB"/>
              </w:rPr>
            </w:pPr>
            <w:r>
              <w:rPr>
                <w:rFonts w:hint="eastAsia" w:ascii="仿宋" w:hAnsi="仿宋" w:eastAsia="仿宋" w:cs="仿宋"/>
                <w:szCs w:val="21"/>
                <w:lang w:val="en-GB"/>
              </w:rPr>
              <w:t>五、标注结果的质量检验</w:t>
            </w:r>
          </w:p>
          <w:p w14:paraId="6CD0DF95">
            <w:pPr>
              <w:adjustRightInd w:val="0"/>
              <w:snapToGrid w:val="0"/>
              <w:spacing w:line="360" w:lineRule="auto"/>
              <w:ind w:firstLine="420" w:firstLineChars="200"/>
              <w:rPr>
                <w:rFonts w:ascii="仿宋" w:hAnsi="仿宋" w:eastAsia="仿宋" w:cs="仿宋"/>
                <w:szCs w:val="21"/>
                <w:lang w:val="en-GB"/>
              </w:rPr>
            </w:pPr>
            <w:r>
              <w:rPr>
                <w:rFonts w:hint="eastAsia" w:ascii="仿宋" w:hAnsi="仿宋" w:eastAsia="仿宋" w:cs="仿宋"/>
                <w:szCs w:val="21"/>
                <w:lang w:val="en-GB"/>
              </w:rPr>
              <w:t>实践知识：</w:t>
            </w:r>
          </w:p>
          <w:p w14:paraId="241E3EE8">
            <w:pPr>
              <w:adjustRightInd w:val="0"/>
              <w:snapToGrid w:val="0"/>
              <w:spacing w:line="360" w:lineRule="auto"/>
              <w:ind w:firstLine="420" w:firstLineChars="200"/>
              <w:rPr>
                <w:rFonts w:ascii="仿宋" w:hAnsi="仿宋" w:eastAsia="仿宋" w:cs="仿宋"/>
                <w:szCs w:val="21"/>
                <w:lang w:val="en-GB"/>
              </w:rPr>
            </w:pPr>
            <w:r>
              <w:rPr>
                <w:rFonts w:hint="eastAsia" w:ascii="仿宋" w:hAnsi="仿宋" w:eastAsia="仿宋" w:cs="仿宋"/>
                <w:szCs w:val="21"/>
                <w:lang w:val="en-GB"/>
              </w:rPr>
              <w:t>数据审核报告的输出；标注数据的分析及筛选。</w:t>
            </w:r>
          </w:p>
          <w:p w14:paraId="376013C9">
            <w:pPr>
              <w:adjustRightInd w:val="0"/>
              <w:snapToGrid w:val="0"/>
              <w:spacing w:line="360" w:lineRule="auto"/>
              <w:ind w:firstLine="420" w:firstLineChars="200"/>
              <w:rPr>
                <w:rFonts w:ascii="仿宋" w:hAnsi="仿宋" w:eastAsia="仿宋" w:cs="仿宋"/>
                <w:szCs w:val="21"/>
                <w:lang w:val="en-GB"/>
              </w:rPr>
            </w:pPr>
            <w:r>
              <w:rPr>
                <w:rFonts w:hint="eastAsia" w:ascii="仿宋" w:hAnsi="仿宋" w:eastAsia="仿宋" w:cs="仿宋"/>
                <w:szCs w:val="21"/>
                <w:lang w:val="en-GB"/>
              </w:rPr>
              <w:t>质量检验方法的选择；数据准确性和一致性的审核。</w:t>
            </w:r>
          </w:p>
          <w:p w14:paraId="7BE3E720">
            <w:pPr>
              <w:adjustRightInd w:val="0"/>
              <w:snapToGrid w:val="0"/>
              <w:spacing w:line="360" w:lineRule="auto"/>
              <w:ind w:firstLine="420" w:firstLineChars="200"/>
              <w:rPr>
                <w:rFonts w:ascii="仿宋" w:hAnsi="仿宋" w:eastAsia="仿宋" w:cs="仿宋"/>
                <w:szCs w:val="21"/>
                <w:lang w:val="en-GB"/>
              </w:rPr>
            </w:pPr>
            <w:r>
              <w:rPr>
                <w:rFonts w:hint="eastAsia" w:ascii="仿宋" w:hAnsi="仿宋" w:eastAsia="仿宋" w:cs="仿宋"/>
                <w:szCs w:val="21"/>
                <w:lang w:val="en-GB"/>
              </w:rPr>
              <w:t>理论知识：</w:t>
            </w:r>
          </w:p>
          <w:p w14:paraId="7126A00C">
            <w:pPr>
              <w:adjustRightInd w:val="0"/>
              <w:snapToGrid w:val="0"/>
              <w:spacing w:line="360" w:lineRule="auto"/>
              <w:ind w:firstLine="420" w:firstLineChars="200"/>
              <w:rPr>
                <w:rFonts w:ascii="仿宋" w:hAnsi="仿宋" w:eastAsia="仿宋" w:cs="仿宋"/>
                <w:szCs w:val="21"/>
                <w:lang w:val="en-GB"/>
              </w:rPr>
            </w:pPr>
            <w:r>
              <w:rPr>
                <w:rFonts w:hint="eastAsia" w:ascii="仿宋" w:hAnsi="仿宋" w:eastAsia="仿宋" w:cs="仿宋"/>
                <w:szCs w:val="21"/>
                <w:lang w:val="en-GB"/>
              </w:rPr>
              <w:t>数据标注质量标准（图像标注质量标准、文本标注质量标准、视频标注质量标准、音频标注质量标准）；数据标注质检方法的类型（实时检验、全样检验、抽样检验等）。</w:t>
            </w:r>
          </w:p>
          <w:p w14:paraId="71D6DC13">
            <w:pPr>
              <w:adjustRightInd w:val="0"/>
              <w:snapToGrid w:val="0"/>
              <w:spacing w:line="360" w:lineRule="auto"/>
              <w:ind w:firstLine="420" w:firstLineChars="200"/>
              <w:rPr>
                <w:rFonts w:ascii="仿宋" w:hAnsi="仿宋" w:eastAsia="仿宋" w:cs="仿宋"/>
                <w:szCs w:val="21"/>
                <w:lang w:val="en-GB"/>
              </w:rPr>
            </w:pPr>
            <w:r>
              <w:rPr>
                <w:rFonts w:hint="eastAsia" w:ascii="仿宋" w:hAnsi="仿宋" w:eastAsia="仿宋" w:cs="仿宋"/>
                <w:szCs w:val="21"/>
                <w:lang w:val="en-GB"/>
              </w:rPr>
              <w:t>六、标注数据终稿的交付</w:t>
            </w:r>
          </w:p>
          <w:p w14:paraId="5AC5BE82">
            <w:pPr>
              <w:adjustRightInd w:val="0"/>
              <w:snapToGrid w:val="0"/>
              <w:spacing w:line="360" w:lineRule="auto"/>
              <w:ind w:firstLine="420" w:firstLineChars="200"/>
              <w:rPr>
                <w:rFonts w:ascii="仿宋" w:hAnsi="仿宋" w:eastAsia="仿宋" w:cs="仿宋"/>
                <w:szCs w:val="21"/>
                <w:lang w:val="en-GB"/>
              </w:rPr>
            </w:pPr>
            <w:r>
              <w:rPr>
                <w:rFonts w:hint="eastAsia" w:ascii="仿宋" w:hAnsi="仿宋" w:eastAsia="仿宋" w:cs="仿宋"/>
                <w:szCs w:val="21"/>
                <w:lang w:val="en-GB"/>
              </w:rPr>
              <w:t>实践知识：</w:t>
            </w:r>
          </w:p>
          <w:p w14:paraId="6F2A79EF">
            <w:pPr>
              <w:adjustRightInd w:val="0"/>
              <w:snapToGrid w:val="0"/>
              <w:spacing w:line="360" w:lineRule="auto"/>
              <w:ind w:firstLine="420" w:firstLineChars="200"/>
              <w:rPr>
                <w:rFonts w:ascii="仿宋" w:hAnsi="仿宋" w:eastAsia="仿宋" w:cs="仿宋"/>
                <w:szCs w:val="21"/>
                <w:lang w:val="en-GB"/>
              </w:rPr>
            </w:pPr>
            <w:r>
              <w:rPr>
                <w:rFonts w:hint="eastAsia" w:ascii="仿宋" w:hAnsi="仿宋" w:eastAsia="仿宋" w:cs="仿宋"/>
                <w:szCs w:val="21"/>
                <w:lang w:val="en-GB"/>
              </w:rPr>
              <w:t>数据集存储及工作日志的撰写。</w:t>
            </w:r>
          </w:p>
          <w:p w14:paraId="4B94B791">
            <w:pPr>
              <w:adjustRightInd w:val="0"/>
              <w:snapToGrid w:val="0"/>
              <w:spacing w:line="360" w:lineRule="auto"/>
              <w:ind w:firstLine="420" w:firstLineChars="200"/>
              <w:rPr>
                <w:rFonts w:ascii="仿宋" w:hAnsi="仿宋" w:eastAsia="仿宋" w:cs="仿宋"/>
                <w:szCs w:val="21"/>
                <w:lang w:val="en-GB"/>
              </w:rPr>
            </w:pPr>
            <w:r>
              <w:rPr>
                <w:rFonts w:hint="eastAsia" w:ascii="仿宋" w:hAnsi="仿宋" w:eastAsia="仿宋" w:cs="仿宋"/>
                <w:szCs w:val="21"/>
                <w:lang w:val="en-GB"/>
              </w:rPr>
              <w:t>数据分类、统计的方法。</w:t>
            </w:r>
          </w:p>
          <w:p w14:paraId="23530554">
            <w:pPr>
              <w:adjustRightInd w:val="0"/>
              <w:snapToGrid w:val="0"/>
              <w:spacing w:line="360" w:lineRule="auto"/>
              <w:ind w:firstLine="420" w:firstLineChars="200"/>
              <w:rPr>
                <w:rFonts w:ascii="仿宋" w:hAnsi="仿宋" w:eastAsia="仿宋" w:cs="仿宋"/>
                <w:szCs w:val="21"/>
                <w:lang w:val="en-GB"/>
              </w:rPr>
            </w:pPr>
            <w:r>
              <w:rPr>
                <w:rFonts w:hint="eastAsia" w:ascii="仿宋" w:hAnsi="仿宋" w:eastAsia="仿宋" w:cs="仿宋"/>
                <w:szCs w:val="21"/>
                <w:lang w:val="en-GB"/>
              </w:rPr>
              <w:t>数据的正确分类、统计与存储；标注交付技术要点的总结、存在不足的分析、改进措施的提出。</w:t>
            </w:r>
          </w:p>
          <w:p w14:paraId="43001E37">
            <w:pPr>
              <w:adjustRightInd w:val="0"/>
              <w:snapToGrid w:val="0"/>
              <w:spacing w:line="360" w:lineRule="auto"/>
              <w:ind w:firstLine="420" w:firstLineChars="200"/>
              <w:rPr>
                <w:rFonts w:ascii="仿宋" w:hAnsi="仿宋" w:eastAsia="仿宋" w:cs="仿宋"/>
                <w:szCs w:val="21"/>
                <w:lang w:val="en-GB"/>
              </w:rPr>
            </w:pPr>
            <w:r>
              <w:rPr>
                <w:rFonts w:hint="eastAsia" w:ascii="仿宋" w:hAnsi="仿宋" w:eastAsia="仿宋" w:cs="仿宋"/>
                <w:szCs w:val="21"/>
                <w:lang w:val="en-GB"/>
              </w:rPr>
              <w:t>七、职业素养、思政素养</w:t>
            </w:r>
          </w:p>
          <w:p w14:paraId="0D6DD99E">
            <w:pPr>
              <w:tabs>
                <w:tab w:val="left" w:pos="3139"/>
              </w:tabs>
              <w:spacing w:line="360" w:lineRule="auto"/>
              <w:ind w:firstLine="210" w:firstLineChars="100"/>
              <w:rPr>
                <w:rFonts w:hint="eastAsia" w:ascii="仿宋" w:hAnsi="仿宋" w:eastAsia="仿宋" w:cs="仿宋"/>
                <w:kern w:val="0"/>
                <w:sz w:val="24"/>
                <w:szCs w:val="24"/>
              </w:rPr>
            </w:pPr>
            <w:r>
              <w:rPr>
                <w:rFonts w:hint="eastAsia" w:ascii="仿宋" w:hAnsi="仿宋" w:eastAsia="仿宋" w:cs="仿宋"/>
                <w:szCs w:val="21"/>
                <w:lang w:val="en-GB"/>
              </w:rPr>
              <w:t>信息处理、与人交流、交往与合作、解决问题等通用能力，安全意识、质量意识、隐私保护意识、耐心细致、精益求精等职业素养。</w:t>
            </w:r>
          </w:p>
        </w:tc>
      </w:tr>
      <w:tr w14:paraId="52A1E097">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520" w:hRule="atLeast"/>
        </w:trPr>
        <w:tc>
          <w:tcPr>
            <w:tcW w:w="9737" w:type="dxa"/>
            <w:gridSpan w:val="8"/>
            <w:tcBorders>
              <w:tl2br w:val="nil"/>
              <w:tr2bl w:val="nil"/>
            </w:tcBorders>
            <w:vAlign w:val="center"/>
          </w:tcPr>
          <w:p w14:paraId="6E40F344">
            <w:pPr>
              <w:tabs>
                <w:tab w:val="left" w:pos="2981"/>
              </w:tabs>
              <w:jc w:val="center"/>
              <w:rPr>
                <w:rFonts w:hint="eastAsia" w:ascii="仿宋" w:hAnsi="仿宋" w:eastAsia="仿宋" w:cs="仿宋"/>
                <w:kern w:val="0"/>
                <w:sz w:val="24"/>
                <w:szCs w:val="24"/>
              </w:rPr>
            </w:pPr>
            <w:r>
              <w:rPr>
                <w:rFonts w:hint="eastAsia" w:ascii="仿宋" w:hAnsi="仿宋" w:eastAsia="仿宋" w:cs="仿宋"/>
                <w:b/>
                <w:bCs/>
                <w:kern w:val="0"/>
                <w:sz w:val="24"/>
                <w:szCs w:val="24"/>
              </w:rPr>
              <w:t>学习</w:t>
            </w:r>
            <w:r>
              <w:rPr>
                <w:rFonts w:hint="eastAsia" w:ascii="仿宋" w:hAnsi="仿宋" w:eastAsia="仿宋" w:cs="仿宋"/>
                <w:b/>
                <w:bCs/>
                <w:kern w:val="0"/>
                <w:sz w:val="24"/>
                <w:szCs w:val="24"/>
                <w:lang w:eastAsia="zh-Hans"/>
              </w:rPr>
              <w:t>任务</w:t>
            </w:r>
          </w:p>
        </w:tc>
      </w:tr>
      <w:tr w14:paraId="709EE3B3">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825" w:type="dxa"/>
            <w:tcBorders>
              <w:tl2br w:val="nil"/>
              <w:tr2bl w:val="nil"/>
            </w:tcBorders>
            <w:vAlign w:val="center"/>
          </w:tcPr>
          <w:p w14:paraId="4BDD57A9">
            <w:pPr>
              <w:spacing w:line="360" w:lineRule="auto"/>
              <w:jc w:val="center"/>
              <w:rPr>
                <w:rFonts w:hint="eastAsia" w:ascii="仿宋" w:hAnsi="仿宋" w:eastAsia="仿宋" w:cs="仿宋"/>
                <w:b/>
                <w:bCs/>
                <w:kern w:val="0"/>
                <w:sz w:val="24"/>
                <w:szCs w:val="24"/>
              </w:rPr>
            </w:pPr>
            <w:r>
              <w:rPr>
                <w:rFonts w:hint="eastAsia" w:ascii="仿宋" w:hAnsi="仿宋" w:eastAsia="仿宋" w:cs="仿宋"/>
                <w:b/>
                <w:bCs/>
                <w:kern w:val="0"/>
                <w:sz w:val="24"/>
                <w:szCs w:val="24"/>
              </w:rPr>
              <w:t>序号</w:t>
            </w:r>
          </w:p>
        </w:tc>
        <w:tc>
          <w:tcPr>
            <w:tcW w:w="1979" w:type="dxa"/>
            <w:gridSpan w:val="3"/>
            <w:tcBorders>
              <w:tl2br w:val="nil"/>
              <w:tr2bl w:val="nil"/>
            </w:tcBorders>
            <w:vAlign w:val="center"/>
          </w:tcPr>
          <w:p w14:paraId="1584677B">
            <w:pPr>
              <w:spacing w:line="360" w:lineRule="auto"/>
              <w:jc w:val="center"/>
              <w:rPr>
                <w:rFonts w:hint="eastAsia" w:ascii="仿宋" w:hAnsi="仿宋" w:eastAsia="仿宋" w:cs="仿宋"/>
                <w:b/>
                <w:bCs/>
                <w:kern w:val="0"/>
                <w:sz w:val="24"/>
                <w:szCs w:val="24"/>
              </w:rPr>
            </w:pPr>
            <w:r>
              <w:rPr>
                <w:rFonts w:hint="eastAsia" w:ascii="仿宋" w:hAnsi="仿宋" w:eastAsia="仿宋" w:cs="仿宋"/>
                <w:b/>
                <w:bCs/>
                <w:kern w:val="0"/>
                <w:sz w:val="24"/>
                <w:szCs w:val="24"/>
              </w:rPr>
              <w:t>学习任务名称</w:t>
            </w:r>
          </w:p>
        </w:tc>
        <w:tc>
          <w:tcPr>
            <w:tcW w:w="6017" w:type="dxa"/>
            <w:gridSpan w:val="3"/>
            <w:tcBorders>
              <w:tl2br w:val="nil"/>
              <w:tr2bl w:val="nil"/>
            </w:tcBorders>
            <w:vAlign w:val="center"/>
          </w:tcPr>
          <w:p w14:paraId="024FC421">
            <w:pPr>
              <w:spacing w:line="360" w:lineRule="auto"/>
              <w:jc w:val="center"/>
              <w:rPr>
                <w:rFonts w:hint="eastAsia" w:ascii="仿宋" w:hAnsi="仿宋" w:eastAsia="仿宋" w:cs="仿宋"/>
                <w:b/>
                <w:bCs/>
                <w:kern w:val="0"/>
                <w:sz w:val="24"/>
                <w:szCs w:val="24"/>
              </w:rPr>
            </w:pPr>
            <w:r>
              <w:rPr>
                <w:rFonts w:hint="eastAsia" w:ascii="仿宋" w:hAnsi="仿宋" w:eastAsia="仿宋" w:cs="仿宋"/>
                <w:b/>
                <w:bCs/>
                <w:kern w:val="0"/>
                <w:sz w:val="24"/>
                <w:szCs w:val="24"/>
                <w:lang w:val="en-US" w:eastAsia="zh-CN"/>
              </w:rPr>
              <w:t>学习</w:t>
            </w:r>
            <w:r>
              <w:rPr>
                <w:rFonts w:hint="eastAsia" w:ascii="仿宋" w:hAnsi="仿宋" w:eastAsia="仿宋" w:cs="仿宋"/>
                <w:b/>
                <w:bCs/>
                <w:kern w:val="0"/>
                <w:sz w:val="24"/>
                <w:szCs w:val="24"/>
              </w:rPr>
              <w:t>任务描述</w:t>
            </w:r>
          </w:p>
        </w:tc>
        <w:tc>
          <w:tcPr>
            <w:tcW w:w="916" w:type="dxa"/>
            <w:tcBorders>
              <w:tl2br w:val="nil"/>
              <w:tr2bl w:val="nil"/>
            </w:tcBorders>
            <w:vAlign w:val="center"/>
          </w:tcPr>
          <w:p w14:paraId="6150BB4C">
            <w:pPr>
              <w:spacing w:line="360" w:lineRule="auto"/>
              <w:jc w:val="center"/>
              <w:rPr>
                <w:rFonts w:hint="eastAsia" w:ascii="仿宋" w:hAnsi="仿宋" w:eastAsia="仿宋" w:cs="仿宋"/>
                <w:b/>
                <w:bCs/>
                <w:kern w:val="0"/>
                <w:sz w:val="24"/>
                <w:szCs w:val="24"/>
              </w:rPr>
            </w:pPr>
            <w:r>
              <w:rPr>
                <w:rFonts w:hint="eastAsia" w:ascii="仿宋" w:hAnsi="仿宋" w:eastAsia="仿宋" w:cs="仿宋"/>
                <w:b/>
                <w:bCs/>
                <w:kern w:val="0"/>
                <w:sz w:val="24"/>
                <w:szCs w:val="24"/>
              </w:rPr>
              <w:t>学时</w:t>
            </w:r>
          </w:p>
        </w:tc>
      </w:tr>
      <w:tr w14:paraId="121A66B2">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954" w:hRule="atLeast"/>
        </w:trPr>
        <w:tc>
          <w:tcPr>
            <w:tcW w:w="825" w:type="dxa"/>
            <w:tcBorders>
              <w:tl2br w:val="nil"/>
              <w:tr2bl w:val="nil"/>
            </w:tcBorders>
            <w:vAlign w:val="center"/>
          </w:tcPr>
          <w:p w14:paraId="6B951DC4">
            <w:pPr>
              <w:adjustRightInd w:val="0"/>
              <w:snapToGrid w:val="0"/>
              <w:spacing w:line="400" w:lineRule="exact"/>
              <w:jc w:val="center"/>
              <w:rPr>
                <w:rFonts w:hint="eastAsia" w:ascii="仿宋" w:hAnsi="仿宋" w:eastAsia="仿宋" w:cs="仿宋"/>
                <w:kern w:val="0"/>
                <w:sz w:val="24"/>
                <w:szCs w:val="24"/>
              </w:rPr>
            </w:pPr>
            <w:bookmarkStart w:id="0" w:name="OLE_LINK1" w:colFirst="1" w:colLast="2"/>
            <w:r>
              <w:rPr>
                <w:rFonts w:hint="eastAsia" w:ascii="仿宋" w:hAnsi="仿宋" w:eastAsia="仿宋" w:cs="仿宋"/>
                <w:szCs w:val="21"/>
              </w:rPr>
              <w:t>1</w:t>
            </w:r>
          </w:p>
        </w:tc>
        <w:tc>
          <w:tcPr>
            <w:tcW w:w="1979" w:type="dxa"/>
            <w:gridSpan w:val="3"/>
            <w:tcBorders>
              <w:tl2br w:val="nil"/>
              <w:tr2bl w:val="nil"/>
            </w:tcBorders>
            <w:vAlign w:val="center"/>
          </w:tcPr>
          <w:p w14:paraId="36EE6261">
            <w:pPr>
              <w:adjustRightInd w:val="0"/>
              <w:snapToGrid w:val="0"/>
              <w:spacing w:line="360" w:lineRule="auto"/>
              <w:jc w:val="center"/>
              <w:rPr>
                <w:rFonts w:hint="eastAsia" w:ascii="仿宋" w:hAnsi="仿宋" w:eastAsia="仿宋" w:cs="仿宋"/>
                <w:kern w:val="0"/>
                <w:sz w:val="24"/>
                <w:szCs w:val="24"/>
              </w:rPr>
            </w:pPr>
            <w:r>
              <w:rPr>
                <w:rFonts w:hint="eastAsia" w:ascii="仿宋" w:hAnsi="仿宋" w:eastAsia="仿宋" w:cs="仿宋"/>
                <w:szCs w:val="21"/>
              </w:rPr>
              <w:t>文本数据标注</w:t>
            </w:r>
          </w:p>
        </w:tc>
        <w:tc>
          <w:tcPr>
            <w:tcW w:w="6017" w:type="dxa"/>
            <w:gridSpan w:val="3"/>
            <w:tcBorders>
              <w:tl2br w:val="nil"/>
              <w:tr2bl w:val="nil"/>
            </w:tcBorders>
            <w:vAlign w:val="center"/>
          </w:tcPr>
          <w:p w14:paraId="34748E3A">
            <w:pPr>
              <w:adjustRightInd w:val="0"/>
              <w:snapToGrid w:val="0"/>
              <w:spacing w:line="360" w:lineRule="auto"/>
              <w:ind w:firstLine="420" w:firstLineChars="200"/>
              <w:rPr>
                <w:rFonts w:ascii="仿宋" w:hAnsi="仿宋" w:eastAsia="仿宋" w:cs="仿宋"/>
                <w:szCs w:val="21"/>
              </w:rPr>
            </w:pPr>
            <w:r>
              <w:rPr>
                <w:rFonts w:hint="eastAsia" w:ascii="仿宋" w:hAnsi="仿宋" w:eastAsia="仿宋" w:cs="仿宋"/>
                <w:szCs w:val="21"/>
              </w:rPr>
              <w:t>某互联网信息科技公司拟设计一套新闻舆论信息系统，利用人工智能技术，对微博等社交平台的用户评论进行实时情感倾向分析。</w:t>
            </w:r>
          </w:p>
          <w:p w14:paraId="756C70A1">
            <w:pPr>
              <w:adjustRightInd w:val="0"/>
              <w:snapToGrid w:val="0"/>
              <w:spacing w:line="360" w:lineRule="auto"/>
              <w:ind w:firstLine="420" w:firstLineChars="200"/>
              <w:rPr>
                <w:rFonts w:ascii="仿宋" w:hAnsi="仿宋" w:eastAsia="仿宋" w:cs="仿宋"/>
                <w:szCs w:val="21"/>
              </w:rPr>
            </w:pPr>
            <w:r>
              <w:rPr>
                <w:rFonts w:hint="eastAsia" w:ascii="仿宋" w:hAnsi="仿宋" w:eastAsia="仿宋" w:cs="仿宋"/>
                <w:szCs w:val="21"/>
              </w:rPr>
              <w:t>现项目进入数据标注阶段，要求对积极、愤怒、悲伤、恐惧、惊奇、无情绪评论文本进行分类标注，工期为 5 天。</w:t>
            </w:r>
          </w:p>
          <w:p w14:paraId="79322458">
            <w:pPr>
              <w:adjustRightInd w:val="0"/>
              <w:snapToGrid w:val="0"/>
              <w:spacing w:line="360" w:lineRule="auto"/>
              <w:ind w:firstLine="420" w:firstLineChars="200"/>
              <w:rPr>
                <w:rFonts w:ascii="仿宋" w:hAnsi="仿宋" w:eastAsia="仿宋" w:cs="仿宋"/>
                <w:szCs w:val="21"/>
              </w:rPr>
            </w:pPr>
            <w:r>
              <w:rPr>
                <w:rFonts w:hint="eastAsia" w:ascii="仿宋" w:hAnsi="仿宋" w:eastAsia="仿宋" w:cs="仿宋"/>
                <w:szCs w:val="21"/>
              </w:rPr>
              <w:t>学生从教师处领取任务后，阅读任务单，模拟现场访问，与教师进行有效的专业沟通，明确数据标注任务的应用场景，记录业务数据的标注内容、标注数量、标注范围、工期要求等工作信息；查阅资料和手册，梳理交付流程和交付标准，确定数据标注交付关键指标，制定标注样本及其使用说明；按照规定工期制定部署进度和人员分配计划甘特图/里程碑图/项目进度网络图，划分标注子任务并确定人员分配；选择并使用合适的工具/平台和设备；严格按照数据标注流程，完成文本数据词性、实体、文档属性、阅读理解、交互示意等方面的标注；选择合适的质量检验方法，审核数据的准确性和一致性，输出数据审核报告，并及时发现、纠正问题，完成数据的筛选；编写交付文档，填写工作日志，提交确认完毕的数据集给教师。</w:t>
            </w:r>
          </w:p>
          <w:p w14:paraId="66ED2FB4">
            <w:pPr>
              <w:adjustRightInd w:val="0"/>
              <w:snapToGrid w:val="0"/>
              <w:spacing w:line="360" w:lineRule="auto"/>
              <w:ind w:firstLine="420" w:firstLineChars="200"/>
              <w:rPr>
                <w:rFonts w:hint="eastAsia" w:ascii="仿宋" w:hAnsi="仿宋" w:eastAsia="仿宋" w:cs="仿宋"/>
                <w:kern w:val="0"/>
                <w:sz w:val="24"/>
                <w:szCs w:val="24"/>
              </w:rPr>
            </w:pPr>
            <w:r>
              <w:rPr>
                <w:rFonts w:hint="eastAsia" w:ascii="仿宋" w:hAnsi="仿宋" w:eastAsia="仿宋" w:cs="仿宋"/>
                <w:szCs w:val="21"/>
              </w:rPr>
              <w:t>在工作过程中严格遵守《人工智能训练师国家职业技能标准（2021年版）》、《人工智能面向机器学习的数据标注规程》（GB/T 42755—2023）等各项国家标准和行业规范以及企业 6S 管理规定。</w:t>
            </w:r>
          </w:p>
        </w:tc>
        <w:tc>
          <w:tcPr>
            <w:tcW w:w="916" w:type="dxa"/>
            <w:tcBorders>
              <w:tl2br w:val="nil"/>
              <w:tr2bl w:val="nil"/>
            </w:tcBorders>
            <w:vAlign w:val="center"/>
          </w:tcPr>
          <w:p w14:paraId="3A1F985A">
            <w:pPr>
              <w:spacing w:line="400" w:lineRule="exact"/>
              <w:jc w:val="center"/>
              <w:rPr>
                <w:rFonts w:hint="default" w:ascii="仿宋" w:hAnsi="仿宋" w:eastAsia="仿宋" w:cs="仿宋"/>
                <w:kern w:val="0"/>
                <w:sz w:val="24"/>
                <w:szCs w:val="24"/>
                <w:lang w:val="en-US" w:eastAsia="zh-CN"/>
              </w:rPr>
            </w:pPr>
            <w:r>
              <w:rPr>
                <w:rFonts w:hint="eastAsia" w:ascii="仿宋" w:hAnsi="仿宋" w:eastAsia="仿宋" w:cs="仿宋"/>
                <w:szCs w:val="21"/>
                <w:lang w:val="en-US" w:eastAsia="zh-CN"/>
              </w:rPr>
              <w:t>36</w:t>
            </w:r>
          </w:p>
        </w:tc>
      </w:tr>
      <w:tr w14:paraId="297BA425">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7237" w:hRule="atLeast"/>
        </w:trPr>
        <w:tc>
          <w:tcPr>
            <w:tcW w:w="825" w:type="dxa"/>
            <w:tcBorders>
              <w:tl2br w:val="nil"/>
              <w:tr2bl w:val="nil"/>
            </w:tcBorders>
            <w:vAlign w:val="center"/>
          </w:tcPr>
          <w:p w14:paraId="4FD5558D">
            <w:pPr>
              <w:adjustRightInd w:val="0"/>
              <w:snapToGrid w:val="0"/>
              <w:spacing w:line="400" w:lineRule="exact"/>
              <w:jc w:val="center"/>
              <w:rPr>
                <w:rFonts w:hint="eastAsia" w:ascii="仿宋" w:hAnsi="仿宋" w:eastAsia="仿宋" w:cs="仿宋"/>
                <w:kern w:val="2"/>
                <w:sz w:val="24"/>
                <w:szCs w:val="24"/>
                <w:lang w:val="en-US" w:eastAsia="zh-CN" w:bidi="ar-SA"/>
              </w:rPr>
            </w:pPr>
            <w:r>
              <w:rPr>
                <w:rFonts w:hint="eastAsia" w:ascii="仿宋" w:hAnsi="仿宋" w:eastAsia="仿宋" w:cs="仿宋"/>
                <w:sz w:val="24"/>
                <w:szCs w:val="24"/>
              </w:rPr>
              <w:t>2</w:t>
            </w:r>
          </w:p>
        </w:tc>
        <w:tc>
          <w:tcPr>
            <w:tcW w:w="1979" w:type="dxa"/>
            <w:gridSpan w:val="3"/>
            <w:tcBorders>
              <w:tl2br w:val="nil"/>
              <w:tr2bl w:val="nil"/>
            </w:tcBorders>
            <w:vAlign w:val="center"/>
          </w:tcPr>
          <w:p w14:paraId="1B6930D7">
            <w:pPr>
              <w:adjustRightInd w:val="0"/>
              <w:snapToGrid w:val="0"/>
              <w:spacing w:line="360" w:lineRule="auto"/>
              <w:jc w:val="center"/>
              <w:rPr>
                <w:rFonts w:hint="eastAsia" w:ascii="仿宋" w:hAnsi="仿宋" w:eastAsia="仿宋" w:cs="仿宋"/>
                <w:kern w:val="2"/>
                <w:sz w:val="21"/>
                <w:szCs w:val="21"/>
                <w:lang w:val="en-US" w:eastAsia="zh-CN" w:bidi="ar-SA"/>
              </w:rPr>
            </w:pPr>
            <w:r>
              <w:rPr>
                <w:rFonts w:hint="eastAsia" w:ascii="仿宋" w:hAnsi="仿宋" w:eastAsia="仿宋" w:cs="仿宋"/>
                <w:szCs w:val="21"/>
              </w:rPr>
              <w:t>图像数据标注</w:t>
            </w:r>
          </w:p>
        </w:tc>
        <w:tc>
          <w:tcPr>
            <w:tcW w:w="6017" w:type="dxa"/>
            <w:gridSpan w:val="3"/>
            <w:tcBorders>
              <w:tl2br w:val="nil"/>
              <w:tr2bl w:val="nil"/>
            </w:tcBorders>
            <w:vAlign w:val="center"/>
          </w:tcPr>
          <w:p w14:paraId="310FAA91">
            <w:pPr>
              <w:adjustRightInd w:val="0"/>
              <w:snapToGrid w:val="0"/>
              <w:spacing w:line="360" w:lineRule="auto"/>
              <w:ind w:firstLine="420" w:firstLineChars="200"/>
              <w:rPr>
                <w:rFonts w:ascii="仿宋" w:hAnsi="仿宋" w:eastAsia="仿宋" w:cs="仿宋"/>
                <w:szCs w:val="21"/>
              </w:rPr>
            </w:pPr>
            <w:r>
              <w:rPr>
                <w:rFonts w:hint="eastAsia" w:ascii="仿宋" w:hAnsi="仿宋" w:eastAsia="仿宋" w:cs="仿宋"/>
                <w:szCs w:val="21"/>
              </w:rPr>
              <w:t>某学校需要建设一套智慧教室系统，希望通过人工智能技术中的人脸识别和行为识别来分析学生课堂行为。现项目进入数据标注阶段，需要对学生的7种表情：生气、厌恶、恐惧、喜悦、正常、悲伤、惊奇以及4种行为动作：趴桌子、举手、站立、玩手机进行数据标注，工期为5天。</w:t>
            </w:r>
          </w:p>
          <w:p w14:paraId="0E0F821D">
            <w:pPr>
              <w:adjustRightInd w:val="0"/>
              <w:snapToGrid w:val="0"/>
              <w:spacing w:line="360" w:lineRule="auto"/>
              <w:ind w:firstLine="420" w:firstLineChars="200"/>
              <w:rPr>
                <w:rFonts w:ascii="仿宋" w:hAnsi="仿宋" w:eastAsia="仿宋" w:cs="仿宋"/>
                <w:szCs w:val="21"/>
              </w:rPr>
            </w:pPr>
            <w:r>
              <w:rPr>
                <w:rFonts w:hint="eastAsia" w:ascii="仿宋" w:hAnsi="仿宋" w:eastAsia="仿宋" w:cs="仿宋"/>
                <w:szCs w:val="21"/>
              </w:rPr>
              <w:t>学生从教师处领取任务后，阅读任务单，模拟现场访问，与教师进行有效的专业沟通，明确数据标注任务的应用场景，记录业务数据的标注内容、标注数量、标注范围、工期要求等工作信息；查阅资料和手册，梳理交付流程和交付标准，确定数据标注交付关键指标，制定标注样本及其使用说明；按照规定工期制定部署进度和人员分配计划甘特图/里程碑图/项目进度网络图，明确标注流程，划分标注子任务并确定人员分配；选择并使用合适的工具/平台和设备；严格按照数据标注流程，完成对图像数据关键点、分类、区域、图片属性等内容的标注；选择合适的质量检验方法，审核数据的准确性和一致性，输出数据审核报告，并及时发现、纠正问题，完成数据的筛选；组内自审，填写工作日志，提交确认完毕的数据集移交给教师。</w:t>
            </w:r>
          </w:p>
          <w:p w14:paraId="475C2F60">
            <w:pPr>
              <w:adjustRightInd w:val="0"/>
              <w:snapToGrid w:val="0"/>
              <w:spacing w:line="360" w:lineRule="auto"/>
              <w:ind w:firstLine="420" w:firstLineChars="200"/>
              <w:rPr>
                <w:rFonts w:hint="eastAsia" w:ascii="仿宋" w:hAnsi="仿宋" w:eastAsia="仿宋" w:cs="仿宋"/>
                <w:kern w:val="2"/>
                <w:sz w:val="21"/>
                <w:szCs w:val="21"/>
                <w:lang w:val="en-US" w:eastAsia="zh-CN" w:bidi="ar-SA"/>
              </w:rPr>
            </w:pPr>
            <w:r>
              <w:rPr>
                <w:rFonts w:hint="eastAsia" w:ascii="仿宋" w:hAnsi="仿宋" w:eastAsia="仿宋" w:cs="仿宋"/>
                <w:szCs w:val="21"/>
              </w:rPr>
              <w:t>在工作过程中严格遵守《人工智能训练师国家职业技能标准（2021年版）》、《人工智能面向机器学习的数据标注规程》（GB/T42755—2023）等各项国家标准和行业规范以及企业6S管理规定。</w:t>
            </w:r>
          </w:p>
        </w:tc>
        <w:tc>
          <w:tcPr>
            <w:tcW w:w="916" w:type="dxa"/>
            <w:tcBorders>
              <w:tl2br w:val="nil"/>
              <w:tr2bl w:val="nil"/>
            </w:tcBorders>
            <w:vAlign w:val="center"/>
          </w:tcPr>
          <w:p w14:paraId="425F1EBF">
            <w:pPr>
              <w:spacing w:line="400" w:lineRule="exact"/>
              <w:jc w:val="center"/>
              <w:rPr>
                <w:rFonts w:hint="default" w:ascii="仿宋" w:hAnsi="仿宋" w:eastAsia="仿宋" w:cs="仿宋"/>
                <w:kern w:val="2"/>
                <w:sz w:val="21"/>
                <w:szCs w:val="21"/>
                <w:lang w:val="en-US" w:eastAsia="zh-CN" w:bidi="ar-SA"/>
              </w:rPr>
            </w:pPr>
            <w:r>
              <w:rPr>
                <w:rFonts w:hint="eastAsia" w:ascii="仿宋" w:hAnsi="仿宋" w:eastAsia="仿宋" w:cs="仿宋"/>
                <w:szCs w:val="21"/>
                <w:lang w:val="en-US" w:eastAsia="zh-CN"/>
              </w:rPr>
              <w:t>36</w:t>
            </w:r>
          </w:p>
        </w:tc>
      </w:tr>
      <w:tr w14:paraId="597F9F22">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825" w:type="dxa"/>
            <w:tcBorders>
              <w:tl2br w:val="nil"/>
              <w:tr2bl w:val="nil"/>
            </w:tcBorders>
            <w:vAlign w:val="center"/>
          </w:tcPr>
          <w:p w14:paraId="54953C03">
            <w:pPr>
              <w:adjustRightInd w:val="0"/>
              <w:snapToGrid w:val="0"/>
              <w:spacing w:line="400" w:lineRule="exact"/>
              <w:jc w:val="center"/>
              <w:rPr>
                <w:rFonts w:hint="eastAsia" w:ascii="仿宋" w:hAnsi="仿宋" w:eastAsia="仿宋" w:cs="仿宋"/>
                <w:kern w:val="2"/>
                <w:sz w:val="21"/>
                <w:szCs w:val="21"/>
                <w:lang w:val="en-US" w:eastAsia="zh-CN" w:bidi="ar-SA"/>
              </w:rPr>
            </w:pPr>
            <w:r>
              <w:rPr>
                <w:rFonts w:hint="eastAsia" w:ascii="仿宋" w:hAnsi="仿宋" w:eastAsia="仿宋" w:cs="仿宋"/>
                <w:szCs w:val="21"/>
              </w:rPr>
              <w:t>3</w:t>
            </w:r>
          </w:p>
        </w:tc>
        <w:tc>
          <w:tcPr>
            <w:tcW w:w="1979" w:type="dxa"/>
            <w:gridSpan w:val="3"/>
            <w:tcBorders>
              <w:tl2br w:val="nil"/>
              <w:tr2bl w:val="nil"/>
            </w:tcBorders>
            <w:vAlign w:val="center"/>
          </w:tcPr>
          <w:p w14:paraId="2A55D091">
            <w:pPr>
              <w:adjustRightInd w:val="0"/>
              <w:snapToGrid w:val="0"/>
              <w:spacing w:line="360" w:lineRule="auto"/>
              <w:jc w:val="center"/>
              <w:rPr>
                <w:rFonts w:hint="eastAsia" w:ascii="仿宋" w:hAnsi="仿宋" w:eastAsia="仿宋" w:cs="仿宋"/>
                <w:kern w:val="2"/>
                <w:sz w:val="21"/>
                <w:szCs w:val="21"/>
                <w:lang w:val="en-US" w:eastAsia="zh-CN" w:bidi="ar-SA"/>
              </w:rPr>
            </w:pPr>
            <w:r>
              <w:rPr>
                <w:rFonts w:hint="eastAsia" w:ascii="仿宋" w:hAnsi="仿宋" w:eastAsia="仿宋" w:cs="仿宋"/>
                <w:szCs w:val="21"/>
              </w:rPr>
              <w:t>视频数据标注</w:t>
            </w:r>
          </w:p>
        </w:tc>
        <w:tc>
          <w:tcPr>
            <w:tcW w:w="6017" w:type="dxa"/>
            <w:gridSpan w:val="3"/>
            <w:tcBorders>
              <w:tl2br w:val="nil"/>
              <w:tr2bl w:val="nil"/>
            </w:tcBorders>
            <w:vAlign w:val="center"/>
          </w:tcPr>
          <w:p w14:paraId="0DC6C062">
            <w:pPr>
              <w:adjustRightInd w:val="0"/>
              <w:snapToGrid w:val="0"/>
              <w:spacing w:line="360" w:lineRule="auto"/>
              <w:ind w:firstLine="420" w:firstLineChars="200"/>
              <w:rPr>
                <w:rFonts w:ascii="仿宋" w:hAnsi="仿宋" w:eastAsia="仿宋" w:cs="仿宋"/>
                <w:szCs w:val="21"/>
              </w:rPr>
            </w:pPr>
            <w:r>
              <w:rPr>
                <w:rFonts w:hint="eastAsia" w:ascii="仿宋" w:hAnsi="仿宋" w:eastAsia="仿宋" w:cs="仿宋"/>
                <w:szCs w:val="21"/>
              </w:rPr>
              <w:t>某矿业公司引进某企业工地安全帽佩戴检测智能化安全生产风险监控系统，该系统支持对颜色安全帽、头部遮挡、弯腰低头及不佩戴安全帽等场景的实时检测，支持在线和离线检测方式，全面覆盖主要生产风险点，现项目进入数据标注阶段，工期为5天。</w:t>
            </w:r>
          </w:p>
          <w:p w14:paraId="02FB4A53">
            <w:pPr>
              <w:adjustRightInd w:val="0"/>
              <w:snapToGrid w:val="0"/>
              <w:spacing w:line="360" w:lineRule="auto"/>
              <w:ind w:firstLine="420" w:firstLineChars="200"/>
              <w:rPr>
                <w:rFonts w:ascii="仿宋" w:hAnsi="仿宋" w:eastAsia="仿宋" w:cs="仿宋"/>
                <w:szCs w:val="21"/>
              </w:rPr>
            </w:pPr>
            <w:r>
              <w:rPr>
                <w:rFonts w:hint="eastAsia" w:ascii="仿宋" w:hAnsi="仿宋" w:eastAsia="仿宋" w:cs="仿宋"/>
                <w:szCs w:val="21"/>
              </w:rPr>
              <w:t>学生从教师处领取任务后，阅读任务单，模拟现场访问，与教师进行有效的专业沟通，明确数据标注任务的应用场景，记录业务数据的标注内容、标注数量、标注范围、工期要求等工作信息；查阅资料和手册，梳理交付流程和交付标准，确定数据标注交付关键指标，制定标注样本及其使用说明；按照规定工期制定部署进度和人员分配计划甘特图/里程碑图/项目进度网络图，明确标注流程，划分标注子任务并确定人员分配；选择并使用合适的工具/平台和设备；严格按照数据标注流程，对视频数据抽帧处理，并完成对特定帧中目标对象的标注；选择合适的质量检验方法，审核数据的准确性和一致性，输出数据审核报告，并及时发现、纠正问题，完成数据的筛选；组内自审，填写工作日志，提交确认完毕的数据集移交给教师。</w:t>
            </w:r>
          </w:p>
          <w:p w14:paraId="6EB96B5D">
            <w:pPr>
              <w:adjustRightInd w:val="0"/>
              <w:snapToGrid w:val="0"/>
              <w:spacing w:line="360" w:lineRule="auto"/>
              <w:ind w:firstLine="420" w:firstLineChars="200"/>
              <w:rPr>
                <w:rFonts w:hint="eastAsia" w:ascii="仿宋" w:hAnsi="仿宋" w:eastAsia="仿宋" w:cs="仿宋"/>
                <w:kern w:val="2"/>
                <w:sz w:val="21"/>
                <w:szCs w:val="21"/>
                <w:lang w:val="en-US" w:eastAsia="zh-CN" w:bidi="ar-SA"/>
              </w:rPr>
            </w:pPr>
            <w:r>
              <w:rPr>
                <w:rFonts w:hint="eastAsia" w:ascii="仿宋" w:hAnsi="仿宋" w:eastAsia="仿宋" w:cs="仿宋"/>
                <w:szCs w:val="21"/>
              </w:rPr>
              <w:t>在工作过程中严格遵守《人工智能训练师国家职业技能标准（2021年版）》、中国电子工业标准化技术协会《人工智能 面向机器学习的数据标注规程》（GB/T 42755—2023）等各项国家标准和行业规范以及企业6S管理规定。</w:t>
            </w:r>
          </w:p>
        </w:tc>
        <w:tc>
          <w:tcPr>
            <w:tcW w:w="916" w:type="dxa"/>
            <w:tcBorders>
              <w:tl2br w:val="nil"/>
              <w:tr2bl w:val="nil"/>
            </w:tcBorders>
            <w:vAlign w:val="center"/>
          </w:tcPr>
          <w:p w14:paraId="0E8DB4B1">
            <w:pPr>
              <w:spacing w:line="400" w:lineRule="exact"/>
              <w:jc w:val="center"/>
              <w:rPr>
                <w:rFonts w:hint="default" w:ascii="仿宋" w:hAnsi="仿宋" w:eastAsia="仿宋" w:cs="仿宋"/>
                <w:kern w:val="2"/>
                <w:sz w:val="21"/>
                <w:szCs w:val="21"/>
                <w:lang w:val="en-US" w:eastAsia="zh-CN" w:bidi="ar-SA"/>
              </w:rPr>
            </w:pPr>
            <w:r>
              <w:rPr>
                <w:rFonts w:hint="eastAsia" w:ascii="仿宋" w:hAnsi="仿宋" w:eastAsia="仿宋" w:cs="仿宋"/>
                <w:szCs w:val="21"/>
                <w:lang w:val="en-US" w:eastAsia="zh-CN"/>
              </w:rPr>
              <w:t>36</w:t>
            </w:r>
          </w:p>
        </w:tc>
      </w:tr>
      <w:tr w14:paraId="1989240B">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825" w:type="dxa"/>
            <w:tcBorders>
              <w:tl2br w:val="nil"/>
              <w:tr2bl w:val="nil"/>
            </w:tcBorders>
            <w:vAlign w:val="center"/>
          </w:tcPr>
          <w:p w14:paraId="6D4AE4AC">
            <w:pPr>
              <w:adjustRightInd w:val="0"/>
              <w:snapToGrid w:val="0"/>
              <w:spacing w:line="400" w:lineRule="exact"/>
              <w:jc w:val="center"/>
              <w:rPr>
                <w:rFonts w:hint="eastAsia" w:ascii="仿宋" w:hAnsi="仿宋" w:eastAsia="仿宋" w:cs="仿宋"/>
                <w:kern w:val="2"/>
                <w:sz w:val="21"/>
                <w:szCs w:val="21"/>
                <w:lang w:val="en-US" w:eastAsia="zh-CN" w:bidi="ar-SA"/>
              </w:rPr>
            </w:pPr>
            <w:r>
              <w:rPr>
                <w:rFonts w:hint="eastAsia" w:ascii="仿宋" w:hAnsi="仿宋" w:eastAsia="仿宋" w:cs="仿宋"/>
                <w:szCs w:val="21"/>
              </w:rPr>
              <w:t>4</w:t>
            </w:r>
          </w:p>
        </w:tc>
        <w:tc>
          <w:tcPr>
            <w:tcW w:w="1979" w:type="dxa"/>
            <w:gridSpan w:val="3"/>
            <w:tcBorders>
              <w:tl2br w:val="nil"/>
              <w:tr2bl w:val="nil"/>
            </w:tcBorders>
            <w:vAlign w:val="center"/>
          </w:tcPr>
          <w:p w14:paraId="4EBB3DBE">
            <w:pPr>
              <w:adjustRightInd w:val="0"/>
              <w:snapToGrid w:val="0"/>
              <w:spacing w:line="360" w:lineRule="auto"/>
              <w:jc w:val="center"/>
              <w:rPr>
                <w:rFonts w:hint="eastAsia" w:ascii="仿宋" w:hAnsi="仿宋" w:eastAsia="仿宋" w:cs="仿宋"/>
                <w:kern w:val="2"/>
                <w:sz w:val="21"/>
                <w:szCs w:val="21"/>
                <w:lang w:val="en-US" w:eastAsia="zh-CN" w:bidi="ar-SA"/>
              </w:rPr>
            </w:pPr>
            <w:r>
              <w:rPr>
                <w:rFonts w:hint="eastAsia" w:ascii="仿宋" w:hAnsi="仿宋" w:eastAsia="仿宋" w:cs="仿宋"/>
                <w:szCs w:val="21"/>
              </w:rPr>
              <w:t>语音数据标注</w:t>
            </w:r>
          </w:p>
        </w:tc>
        <w:tc>
          <w:tcPr>
            <w:tcW w:w="6017" w:type="dxa"/>
            <w:gridSpan w:val="3"/>
            <w:tcBorders>
              <w:tl2br w:val="nil"/>
              <w:tr2bl w:val="nil"/>
            </w:tcBorders>
            <w:vAlign w:val="center"/>
          </w:tcPr>
          <w:p w14:paraId="5B6B8246">
            <w:pPr>
              <w:adjustRightInd w:val="0"/>
              <w:snapToGrid w:val="0"/>
              <w:spacing w:line="360" w:lineRule="auto"/>
              <w:ind w:firstLine="420" w:firstLineChars="200"/>
              <w:rPr>
                <w:rFonts w:ascii="仿宋" w:hAnsi="仿宋" w:eastAsia="仿宋" w:cs="仿宋"/>
                <w:szCs w:val="21"/>
              </w:rPr>
            </w:pPr>
            <w:r>
              <w:rPr>
                <w:rFonts w:hint="eastAsia" w:ascii="仿宋" w:hAnsi="仿宋" w:eastAsia="仿宋" w:cs="仿宋"/>
                <w:szCs w:val="21"/>
              </w:rPr>
              <w:t>某一智能化公司的产品经理根据业务客户诉求，需要研发一个能够精确识别展厅场景问句的语音识别Demo的产品，该产品支持智能对话功能、问询等功能。现项目进入数据标注阶段，工期为4天。</w:t>
            </w:r>
          </w:p>
          <w:p w14:paraId="6F4049D8">
            <w:pPr>
              <w:adjustRightInd w:val="0"/>
              <w:snapToGrid w:val="0"/>
              <w:spacing w:line="360" w:lineRule="auto"/>
              <w:ind w:firstLine="420" w:firstLineChars="200"/>
              <w:rPr>
                <w:rFonts w:ascii="仿宋" w:hAnsi="仿宋" w:eastAsia="仿宋" w:cs="仿宋"/>
                <w:szCs w:val="21"/>
              </w:rPr>
            </w:pPr>
            <w:r>
              <w:rPr>
                <w:rFonts w:hint="eastAsia" w:ascii="仿宋" w:hAnsi="仿宋" w:eastAsia="仿宋" w:cs="仿宋"/>
                <w:szCs w:val="21"/>
              </w:rPr>
              <w:t>学生从教师处领取任务后，阅读任务单，模拟现场访问，与教师进行有效的专业沟通，明确数据标注任务的应用场景，记录业务数据的标注内容、标注数量、标注范围、工期要求等工作信息；查阅资料和手册，梳理交付流程和交付标准，确定数据标注交付关键指标，制定标注样本及其使用说明；按照规定工期制定部署进度和人员分配计划甘特图 / 里程碑图/项目进度网络图，明确标注流程，划分标注子任务并确定人员分配；选择并使用合适的工具/平台和设备；严格按照数据标注流程，完成对音频数据的有效性判断、内容分割、内容转写、任务角色标注、环境场景标注等；选择合适的质量检验方法，审核数据的准确性和一致性，输出数据审核报告，并及时发现、纠正问题，完成数据的筛选；组内自审，填写工作日志，提交确认完毕的数据集给教师。</w:t>
            </w:r>
          </w:p>
          <w:p w14:paraId="7FAC0DCF">
            <w:pPr>
              <w:adjustRightInd w:val="0"/>
              <w:snapToGrid w:val="0"/>
              <w:spacing w:line="360" w:lineRule="auto"/>
              <w:ind w:firstLine="420" w:firstLineChars="200"/>
              <w:rPr>
                <w:rFonts w:hint="eastAsia" w:ascii="仿宋" w:hAnsi="仿宋" w:eastAsia="仿宋" w:cs="仿宋"/>
                <w:kern w:val="2"/>
                <w:sz w:val="24"/>
                <w:szCs w:val="24"/>
                <w:lang w:val="en-US" w:eastAsia="zh-CN" w:bidi="ar-SA"/>
              </w:rPr>
            </w:pPr>
            <w:r>
              <w:rPr>
                <w:rFonts w:hint="eastAsia" w:ascii="仿宋" w:hAnsi="仿宋" w:eastAsia="仿宋" w:cs="仿宋"/>
                <w:szCs w:val="21"/>
              </w:rPr>
              <w:t>在工作过程中严格遵守《人工智能训练师国家职业技能标准》（2021年版）、中国电子工业标准化技术协会《人工智能　面向机器学习的数据标注规程》（GB/T 42755—2023）等各项国家标准和行业规范以及企业6S管理规定。</w:t>
            </w:r>
          </w:p>
        </w:tc>
        <w:tc>
          <w:tcPr>
            <w:tcW w:w="916" w:type="dxa"/>
            <w:tcBorders>
              <w:tl2br w:val="nil"/>
              <w:tr2bl w:val="nil"/>
            </w:tcBorders>
            <w:vAlign w:val="center"/>
          </w:tcPr>
          <w:p w14:paraId="0FB6B6D8">
            <w:pPr>
              <w:jc w:val="center"/>
              <w:rPr>
                <w:rFonts w:hint="default" w:ascii="仿宋" w:hAnsi="仿宋" w:eastAsia="仿宋" w:cs="仿宋"/>
                <w:kern w:val="2"/>
                <w:sz w:val="24"/>
                <w:szCs w:val="24"/>
                <w:lang w:val="en-US" w:eastAsia="zh-CN" w:bidi="ar-SA"/>
              </w:rPr>
            </w:pPr>
            <w:r>
              <w:rPr>
                <w:rFonts w:hint="eastAsia" w:ascii="仿宋" w:hAnsi="仿宋" w:eastAsia="仿宋" w:cs="仿宋"/>
                <w:kern w:val="2"/>
                <w:sz w:val="24"/>
                <w:szCs w:val="24"/>
                <w:lang w:val="en-US" w:eastAsia="zh-CN" w:bidi="ar-SA"/>
              </w:rPr>
              <w:t>36</w:t>
            </w:r>
          </w:p>
        </w:tc>
      </w:tr>
      <w:bookmarkEnd w:id="0"/>
      <w:tr w14:paraId="0A8A4DC9">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505" w:hRule="atLeast"/>
        </w:trPr>
        <w:tc>
          <w:tcPr>
            <w:tcW w:w="9737" w:type="dxa"/>
            <w:gridSpan w:val="8"/>
            <w:tcBorders>
              <w:tl2br w:val="nil"/>
              <w:tr2bl w:val="nil"/>
            </w:tcBorders>
            <w:vAlign w:val="center"/>
          </w:tcPr>
          <w:p w14:paraId="319811A2">
            <w:pPr>
              <w:tabs>
                <w:tab w:val="left" w:pos="3139"/>
              </w:tabs>
              <w:jc w:val="center"/>
              <w:rPr>
                <w:rFonts w:hint="eastAsia" w:ascii="仿宋" w:hAnsi="仿宋" w:eastAsia="仿宋" w:cs="仿宋"/>
                <w:b/>
                <w:bCs/>
                <w:color w:val="000000"/>
                <w:kern w:val="0"/>
                <w:sz w:val="24"/>
                <w:szCs w:val="24"/>
                <w:lang w:eastAsia="zh-Hans" w:bidi="ar"/>
              </w:rPr>
            </w:pPr>
            <w:r>
              <w:rPr>
                <w:rFonts w:hint="eastAsia" w:ascii="仿宋" w:hAnsi="仿宋" w:eastAsia="仿宋" w:cs="仿宋"/>
                <w:b/>
                <w:bCs/>
                <w:color w:val="000000"/>
                <w:kern w:val="0"/>
                <w:sz w:val="24"/>
                <w:szCs w:val="24"/>
                <w:lang w:eastAsia="zh-Hans" w:bidi="ar"/>
              </w:rPr>
              <w:t>教学实施建议</w:t>
            </w:r>
          </w:p>
        </w:tc>
      </w:tr>
      <w:tr w14:paraId="78277225">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1634" w:hRule="atLeast"/>
        </w:trPr>
        <w:tc>
          <w:tcPr>
            <w:tcW w:w="9737" w:type="dxa"/>
            <w:gridSpan w:val="8"/>
            <w:tcBorders>
              <w:tl2br w:val="nil"/>
              <w:tr2bl w:val="nil"/>
            </w:tcBorders>
            <w:vAlign w:val="center"/>
          </w:tcPr>
          <w:p w14:paraId="1845D5C8">
            <w:pPr>
              <w:adjustRightInd w:val="0"/>
              <w:snapToGrid w:val="0"/>
              <w:spacing w:line="360" w:lineRule="auto"/>
              <w:ind w:left="420" w:leftChars="200" w:firstLine="0" w:firstLineChars="0"/>
              <w:rPr>
                <w:rFonts w:ascii="仿宋" w:hAnsi="仿宋" w:eastAsia="仿宋" w:cs="仿宋"/>
                <w:szCs w:val="21"/>
              </w:rPr>
            </w:pPr>
            <w:r>
              <w:rPr>
                <w:rFonts w:hint="eastAsia" w:ascii="仿宋" w:hAnsi="仿宋" w:eastAsia="仿宋" w:cs="仿宋"/>
                <w:szCs w:val="21"/>
              </w:rPr>
              <w:t>教学实施与建议：</w:t>
            </w:r>
            <w:r>
              <w:rPr>
                <w:rFonts w:hint="eastAsia" w:ascii="仿宋" w:hAnsi="仿宋" w:eastAsia="仿宋" w:cs="仿宋"/>
                <w:szCs w:val="21"/>
              </w:rPr>
              <w:br w:type="textWrapping"/>
            </w:r>
            <w:r>
              <w:rPr>
                <w:rFonts w:hint="eastAsia" w:ascii="仿宋" w:hAnsi="仿宋" w:eastAsia="仿宋" w:cs="仿宋"/>
                <w:szCs w:val="21"/>
              </w:rPr>
              <w:t>1.对于该课程的授课教师，应提出胜任本课程教学所需的教学能力、专业能力等方面要求。</w:t>
            </w:r>
          </w:p>
          <w:p w14:paraId="3500BF2B">
            <w:pPr>
              <w:adjustRightInd w:val="0"/>
              <w:snapToGrid w:val="0"/>
              <w:spacing w:line="360" w:lineRule="auto"/>
              <w:ind w:firstLine="420" w:firstLineChars="200"/>
              <w:rPr>
                <w:rFonts w:ascii="仿宋" w:hAnsi="仿宋" w:eastAsia="仿宋" w:cs="仿宋"/>
                <w:szCs w:val="21"/>
              </w:rPr>
            </w:pPr>
            <w:r>
              <w:rPr>
                <w:rFonts w:hint="eastAsia" w:ascii="仿宋" w:hAnsi="仿宋" w:eastAsia="仿宋" w:cs="仿宋"/>
                <w:szCs w:val="21"/>
              </w:rPr>
              <w:t>2.对于该课程的教学场地及设备，应提出配备的场地面积、设备要求、工位布置、工具材料、教学设备等建议。</w:t>
            </w:r>
          </w:p>
          <w:p w14:paraId="59ECD1A3">
            <w:pPr>
              <w:adjustRightInd w:val="0"/>
              <w:snapToGrid w:val="0"/>
              <w:spacing w:line="360" w:lineRule="auto"/>
              <w:ind w:firstLine="420" w:firstLineChars="200"/>
              <w:rPr>
                <w:rFonts w:ascii="仿宋" w:hAnsi="仿宋" w:eastAsia="仿宋" w:cs="仿宋"/>
                <w:szCs w:val="21"/>
              </w:rPr>
            </w:pPr>
            <w:r>
              <w:rPr>
                <w:rFonts w:hint="eastAsia" w:ascii="仿宋" w:hAnsi="仿宋" w:eastAsia="仿宋" w:cs="仿宋"/>
                <w:szCs w:val="21"/>
              </w:rPr>
              <w:t>3.对于该课程的教学资料，应提出所需教材、工作页、信息页、工具书、数字化资源的名称、数量、来源等建议。</w:t>
            </w:r>
          </w:p>
          <w:p w14:paraId="753B5AB6">
            <w:pPr>
              <w:adjustRightInd w:val="0"/>
              <w:snapToGrid w:val="0"/>
              <w:spacing w:line="360" w:lineRule="auto"/>
              <w:ind w:firstLine="420" w:firstLineChars="200"/>
              <w:rPr>
                <w:rFonts w:ascii="仿宋" w:hAnsi="仿宋" w:eastAsia="仿宋" w:cs="仿宋"/>
                <w:szCs w:val="21"/>
              </w:rPr>
            </w:pPr>
            <w:r>
              <w:rPr>
                <w:rFonts w:hint="eastAsia" w:ascii="仿宋" w:hAnsi="仿宋" w:eastAsia="仿宋" w:cs="仿宋"/>
                <w:szCs w:val="21"/>
              </w:rPr>
              <w:t>4.对于该课程的教学组织方式方法，应以学生为中心理念提出能培养学生职业能力与职业素养高度融合的教学组织形式和教学方法，让学生始终在行动的过程中实现学习。</w:t>
            </w:r>
          </w:p>
          <w:p w14:paraId="1B2ADB09">
            <w:pPr>
              <w:adjustRightInd w:val="0"/>
              <w:snapToGrid w:val="0"/>
              <w:spacing w:line="360" w:lineRule="auto"/>
              <w:ind w:firstLine="420" w:firstLineChars="200"/>
              <w:rPr>
                <w:rFonts w:ascii="仿宋" w:hAnsi="仿宋" w:eastAsia="仿宋" w:cs="仿宋"/>
                <w:szCs w:val="21"/>
              </w:rPr>
            </w:pPr>
            <w:r>
              <w:rPr>
                <w:rFonts w:hint="eastAsia" w:ascii="仿宋" w:hAnsi="仿宋" w:eastAsia="仿宋" w:cs="仿宋"/>
                <w:szCs w:val="21"/>
              </w:rPr>
              <w:t>（一）教学条件</w:t>
            </w:r>
          </w:p>
          <w:p w14:paraId="3D8261EE">
            <w:pPr>
              <w:adjustRightInd w:val="0"/>
              <w:snapToGrid w:val="0"/>
              <w:spacing w:line="360" w:lineRule="auto"/>
              <w:ind w:firstLine="420" w:firstLineChars="200"/>
              <w:rPr>
                <w:rFonts w:ascii="仿宋" w:hAnsi="仿宋" w:eastAsia="仿宋" w:cs="仿宋"/>
                <w:szCs w:val="21"/>
              </w:rPr>
            </w:pPr>
            <w:r>
              <w:rPr>
                <w:rFonts w:hint="eastAsia" w:ascii="仿宋" w:hAnsi="仿宋" w:eastAsia="仿宋" w:cs="仿宋"/>
                <w:szCs w:val="21"/>
              </w:rPr>
              <w:t>1. 场地：一体化教室，具备良好的安全、照明和通风条件，可分为集中教学区、方案讨论区、成果展示区，能容纳50-60名学生，提供互联网接入；</w:t>
            </w:r>
          </w:p>
          <w:p w14:paraId="3954BF09">
            <w:pPr>
              <w:adjustRightInd w:val="0"/>
              <w:snapToGrid w:val="0"/>
              <w:spacing w:line="360" w:lineRule="auto"/>
              <w:ind w:firstLine="420" w:firstLineChars="200"/>
              <w:rPr>
                <w:rFonts w:ascii="仿宋" w:hAnsi="仿宋" w:eastAsia="仿宋" w:cs="仿宋"/>
                <w:szCs w:val="21"/>
              </w:rPr>
            </w:pPr>
            <w:r>
              <w:rPr>
                <w:rFonts w:hint="eastAsia" w:ascii="仿宋" w:hAnsi="仿宋" w:eastAsia="仿宋" w:cs="仿宋"/>
                <w:szCs w:val="21"/>
              </w:rPr>
              <w:t>2. 设备：教师用台式电脑、投影仪、屏幕、音箱、学生自带笔记本电脑；</w:t>
            </w:r>
          </w:p>
          <w:p w14:paraId="1AB0D723">
            <w:pPr>
              <w:adjustRightInd w:val="0"/>
              <w:snapToGrid w:val="0"/>
              <w:spacing w:line="360" w:lineRule="auto"/>
              <w:ind w:firstLine="420" w:firstLineChars="200"/>
              <w:rPr>
                <w:rFonts w:ascii="仿宋" w:hAnsi="仿宋" w:eastAsia="仿宋" w:cs="仿宋"/>
                <w:szCs w:val="21"/>
              </w:rPr>
            </w:pPr>
            <w:r>
              <w:rPr>
                <w:rFonts w:hint="eastAsia" w:ascii="仿宋" w:hAnsi="仿宋" w:eastAsia="仿宋" w:cs="仿宋"/>
                <w:szCs w:val="21"/>
              </w:rPr>
              <w:t>3. 资料：学习任务书（工作页）、教学资源库、评价表、教材（讲义）、参考书、优秀作品范例、素材网站范例等。</w:t>
            </w:r>
          </w:p>
          <w:p w14:paraId="4927C18E">
            <w:pPr>
              <w:adjustRightInd w:val="0"/>
              <w:snapToGrid w:val="0"/>
              <w:spacing w:line="360" w:lineRule="auto"/>
              <w:ind w:firstLine="420" w:firstLineChars="200"/>
              <w:rPr>
                <w:rFonts w:ascii="仿宋" w:hAnsi="仿宋" w:eastAsia="仿宋" w:cs="仿宋"/>
                <w:szCs w:val="21"/>
              </w:rPr>
            </w:pPr>
            <w:r>
              <w:rPr>
                <w:rFonts w:hint="eastAsia" w:ascii="仿宋" w:hAnsi="仿宋" w:eastAsia="仿宋" w:cs="仿宋"/>
                <w:szCs w:val="21"/>
              </w:rPr>
              <w:t>（二）教学组织形式</w:t>
            </w:r>
          </w:p>
          <w:p w14:paraId="15394E63">
            <w:pPr>
              <w:adjustRightInd w:val="0"/>
              <w:snapToGrid w:val="0"/>
              <w:spacing w:line="360" w:lineRule="auto"/>
              <w:ind w:firstLine="420" w:firstLineChars="200"/>
              <w:rPr>
                <w:rFonts w:ascii="仿宋" w:hAnsi="仿宋" w:eastAsia="仿宋" w:cs="仿宋"/>
                <w:szCs w:val="21"/>
              </w:rPr>
            </w:pPr>
            <w:r>
              <w:rPr>
                <w:rFonts w:hint="eastAsia" w:ascii="仿宋" w:hAnsi="仿宋" w:eastAsia="仿宋" w:cs="仿宋"/>
                <w:szCs w:val="21"/>
              </w:rPr>
              <w:t>以独立或小组合作的方式进行，学生从教师（主管）处领取工作任务，与教师（主管）进行沟通，明确工作时间与要求，初稿完成后交教师（主管）审核，根据反馈意见进行修改，直至完稿。</w:t>
            </w:r>
          </w:p>
          <w:p w14:paraId="5280F1B9">
            <w:pPr>
              <w:pStyle w:val="2"/>
              <w:spacing w:after="0" w:line="360" w:lineRule="auto"/>
              <w:ind w:firstLine="640" w:firstLineChars="200"/>
              <w:rPr>
                <w:szCs w:val="21"/>
              </w:rPr>
            </w:pPr>
          </w:p>
          <w:p w14:paraId="37C6242B">
            <w:pPr>
              <w:adjustRightInd w:val="0"/>
              <w:snapToGrid w:val="0"/>
              <w:spacing w:line="360" w:lineRule="auto"/>
              <w:ind w:firstLine="422" w:firstLineChars="200"/>
              <w:rPr>
                <w:rFonts w:ascii="仿宋" w:hAnsi="仿宋" w:eastAsia="仿宋" w:cs="仿宋"/>
                <w:szCs w:val="21"/>
              </w:rPr>
            </w:pPr>
            <w:r>
              <w:rPr>
                <w:rFonts w:hint="eastAsia" w:ascii="仿宋" w:hAnsi="仿宋" w:eastAsia="仿宋" w:cs="仿宋"/>
                <w:b/>
                <w:szCs w:val="21"/>
              </w:rPr>
              <w:drawing>
                <wp:anchor distT="0" distB="0" distL="114300" distR="114300" simplePos="0" relativeHeight="251659264" behindDoc="0" locked="0" layoutInCell="1" allowOverlap="1">
                  <wp:simplePos x="0" y="0"/>
                  <wp:positionH relativeFrom="column">
                    <wp:posOffset>48895</wp:posOffset>
                  </wp:positionH>
                  <wp:positionV relativeFrom="paragraph">
                    <wp:posOffset>400685</wp:posOffset>
                  </wp:positionV>
                  <wp:extent cx="5035550" cy="673100"/>
                  <wp:effectExtent l="76200" t="0" r="50800" b="0"/>
                  <wp:wrapTopAndBottom/>
                  <wp:docPr id="1616861490" name="图示 1616861490"/>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5" r:lo="rId6" r:qs="rId7" r:cs="rId8"/>
                    </a:graphicData>
                  </a:graphic>
                </wp:anchor>
              </w:drawing>
            </w:r>
            <w:r>
              <w:rPr>
                <w:rFonts w:hint="eastAsia" w:ascii="仿宋" w:hAnsi="仿宋" w:eastAsia="仿宋" w:cs="仿宋"/>
                <w:szCs w:val="21"/>
              </w:rPr>
              <w:t>（三）实施过程</w:t>
            </w:r>
          </w:p>
          <w:p w14:paraId="476656EB">
            <w:pPr>
              <w:adjustRightInd w:val="0"/>
              <w:snapToGrid w:val="0"/>
              <w:spacing w:line="360" w:lineRule="auto"/>
              <w:ind w:firstLine="420" w:firstLineChars="200"/>
              <w:rPr>
                <w:rFonts w:ascii="仿宋" w:hAnsi="仿宋" w:eastAsia="仿宋" w:cs="仿宋"/>
                <w:szCs w:val="21"/>
              </w:rPr>
            </w:pPr>
          </w:p>
          <w:p w14:paraId="3C215248">
            <w:pPr>
              <w:adjustRightInd w:val="0"/>
              <w:snapToGrid w:val="0"/>
              <w:spacing w:line="360" w:lineRule="auto"/>
              <w:ind w:firstLine="420" w:firstLineChars="200"/>
              <w:rPr>
                <w:rFonts w:ascii="仿宋" w:hAnsi="仿宋" w:eastAsia="仿宋" w:cs="仿宋"/>
                <w:szCs w:val="21"/>
              </w:rPr>
            </w:pPr>
            <w:r>
              <w:rPr>
                <w:rFonts w:hint="eastAsia" w:ascii="仿宋" w:hAnsi="仿宋" w:eastAsia="仿宋" w:cs="仿宋"/>
                <w:szCs w:val="21"/>
              </w:rPr>
              <w:t>（四）教学组织</w:t>
            </w:r>
          </w:p>
          <w:p w14:paraId="655E76FC">
            <w:pPr>
              <w:adjustRightInd w:val="0"/>
              <w:snapToGrid w:val="0"/>
              <w:spacing w:line="360" w:lineRule="auto"/>
              <w:ind w:firstLine="420" w:firstLineChars="200"/>
              <w:rPr>
                <w:rFonts w:ascii="仿宋" w:hAnsi="仿宋" w:eastAsia="仿宋" w:cs="仿宋"/>
                <w:szCs w:val="21"/>
              </w:rPr>
            </w:pPr>
            <w:r>
              <w:rPr>
                <w:rFonts w:hint="eastAsia" w:ascii="仿宋" w:hAnsi="仿宋" w:eastAsia="仿宋" w:cs="仿宋"/>
                <w:szCs w:val="21"/>
              </w:rPr>
              <w:t>1.教学方法建议</w:t>
            </w:r>
          </w:p>
          <w:p w14:paraId="740791C9">
            <w:pPr>
              <w:adjustRightInd w:val="0"/>
              <w:snapToGrid w:val="0"/>
              <w:spacing w:line="360" w:lineRule="auto"/>
              <w:ind w:firstLine="420" w:firstLineChars="200"/>
              <w:rPr>
                <w:rFonts w:ascii="仿宋" w:hAnsi="仿宋" w:eastAsia="仿宋" w:cs="仿宋"/>
                <w:szCs w:val="21"/>
              </w:rPr>
            </w:pPr>
            <w:r>
              <w:rPr>
                <w:rFonts w:hint="eastAsia" w:ascii="仿宋" w:hAnsi="仿宋" w:eastAsia="仿宋" w:cs="仿宋"/>
                <w:szCs w:val="21"/>
              </w:rPr>
              <w:t>采用行动导向的教学方法。为确保教学安全，提高教学效果，建议采用集中教学、分别辅导的形式；在完成工作任务的过程中，教师须加强示范与指导，注重学生职业素养和规范操作的培养。</w:t>
            </w:r>
          </w:p>
          <w:p w14:paraId="6170CFF7">
            <w:pPr>
              <w:adjustRightInd w:val="0"/>
              <w:snapToGrid w:val="0"/>
              <w:spacing w:line="360" w:lineRule="auto"/>
              <w:ind w:firstLine="420" w:firstLineChars="200"/>
              <w:rPr>
                <w:rFonts w:ascii="仿宋" w:hAnsi="仿宋" w:eastAsia="仿宋" w:cs="仿宋"/>
                <w:szCs w:val="21"/>
              </w:rPr>
            </w:pPr>
            <w:r>
              <w:rPr>
                <w:rFonts w:hint="eastAsia" w:ascii="仿宋" w:hAnsi="仿宋" w:eastAsia="仿宋" w:cs="仿宋"/>
                <w:szCs w:val="21"/>
              </w:rPr>
              <w:t>2.教学条件基本要求</w:t>
            </w:r>
          </w:p>
          <w:p w14:paraId="3FE731FD">
            <w:pPr>
              <w:adjustRightInd w:val="0"/>
              <w:snapToGrid w:val="0"/>
              <w:spacing w:line="360" w:lineRule="auto"/>
              <w:ind w:firstLine="420" w:firstLineChars="200"/>
              <w:rPr>
                <w:rFonts w:ascii="仿宋" w:hAnsi="仿宋" w:eastAsia="仿宋" w:cs="仿宋"/>
                <w:szCs w:val="21"/>
              </w:rPr>
            </w:pPr>
            <w:r>
              <w:rPr>
                <w:rFonts w:hint="eastAsia" w:ascii="仿宋" w:hAnsi="仿宋" w:eastAsia="仿宋" w:cs="仿宋"/>
                <w:szCs w:val="21"/>
              </w:rPr>
              <w:t>课程要求在支持理论实践一体化的教室中完成，以实现“教、学、练、训”相结合，以便更好的在教学中组织、引导学生完成学习内容。</w:t>
            </w:r>
          </w:p>
          <w:p w14:paraId="23758909">
            <w:pPr>
              <w:adjustRightInd w:val="0"/>
              <w:snapToGrid w:val="0"/>
              <w:spacing w:line="360" w:lineRule="auto"/>
              <w:ind w:firstLine="420" w:firstLineChars="200"/>
              <w:rPr>
                <w:rFonts w:ascii="仿宋" w:hAnsi="仿宋" w:eastAsia="仿宋" w:cs="仿宋"/>
                <w:szCs w:val="21"/>
              </w:rPr>
            </w:pPr>
            <w:r>
              <w:rPr>
                <w:rFonts w:hint="eastAsia" w:ascii="仿宋" w:hAnsi="仿宋" w:eastAsia="仿宋" w:cs="仿宋"/>
                <w:szCs w:val="21"/>
              </w:rPr>
              <w:t>3.教学资源库基本要求</w:t>
            </w:r>
          </w:p>
          <w:p w14:paraId="6F16D4BD">
            <w:pPr>
              <w:adjustRightInd w:val="0"/>
              <w:snapToGrid w:val="0"/>
              <w:spacing w:line="360" w:lineRule="auto"/>
              <w:ind w:firstLine="420" w:firstLineChars="200"/>
              <w:rPr>
                <w:rFonts w:ascii="仿宋" w:hAnsi="仿宋" w:eastAsia="仿宋" w:cs="仿宋"/>
                <w:szCs w:val="21"/>
              </w:rPr>
            </w:pPr>
            <w:r>
              <w:rPr>
                <w:rFonts w:hint="eastAsia" w:ascii="仿宋" w:hAnsi="仿宋" w:eastAsia="仿宋" w:cs="仿宋"/>
                <w:szCs w:val="21"/>
              </w:rPr>
              <w:t>任课教师应充分发挥自身专业优势，自行制作相关符合学生课内实训要求的视频素材，配备参考书、优秀作品范例、素材网站范例。并充分利用互联网相关教学资源，完成教学任务。</w:t>
            </w:r>
          </w:p>
          <w:p w14:paraId="59EC58E2">
            <w:pPr>
              <w:adjustRightInd w:val="0"/>
              <w:snapToGrid w:val="0"/>
              <w:spacing w:line="360" w:lineRule="auto"/>
              <w:ind w:firstLine="420" w:firstLineChars="200"/>
              <w:rPr>
                <w:rFonts w:ascii="仿宋" w:hAnsi="仿宋" w:eastAsia="仿宋" w:cs="仿宋"/>
                <w:szCs w:val="21"/>
              </w:rPr>
            </w:pPr>
            <w:r>
              <w:rPr>
                <w:rFonts w:hint="eastAsia" w:ascii="仿宋" w:hAnsi="仿宋" w:eastAsia="仿宋" w:cs="仿宋"/>
                <w:szCs w:val="21"/>
              </w:rPr>
              <w:t>4.教材参考要求</w:t>
            </w:r>
          </w:p>
          <w:p w14:paraId="5B1ACA9D">
            <w:pPr>
              <w:adjustRightInd w:val="0"/>
              <w:snapToGrid w:val="0"/>
              <w:spacing w:line="360" w:lineRule="auto"/>
              <w:ind w:firstLine="420" w:firstLineChars="200"/>
              <w:rPr>
                <w:rFonts w:ascii="仿宋" w:hAnsi="仿宋" w:eastAsia="仿宋" w:cs="仿宋"/>
                <w:szCs w:val="21"/>
              </w:rPr>
            </w:pPr>
            <w:r>
              <w:rPr>
                <w:rFonts w:hint="eastAsia" w:ascii="仿宋" w:hAnsi="仿宋" w:eastAsia="仿宋" w:cs="仿宋"/>
                <w:szCs w:val="21"/>
              </w:rPr>
              <w:t>以工作页为主，配备信息页、教材、课件PPT、微课视频、案例素材、工具或技术指南、数据采集实施方案、规范/标准文件、网络在线教学资源等资料。</w:t>
            </w:r>
          </w:p>
          <w:p w14:paraId="2DDBD42F">
            <w:pPr>
              <w:adjustRightInd w:val="0"/>
              <w:snapToGrid w:val="0"/>
              <w:spacing w:line="360" w:lineRule="auto"/>
              <w:ind w:firstLine="420" w:firstLineChars="200"/>
              <w:rPr>
                <w:rFonts w:ascii="仿宋" w:hAnsi="仿宋" w:eastAsia="仿宋" w:cs="仿宋"/>
                <w:szCs w:val="21"/>
              </w:rPr>
            </w:pPr>
            <w:r>
              <w:rPr>
                <w:rFonts w:hint="eastAsia" w:ascii="仿宋" w:hAnsi="仿宋" w:eastAsia="仿宋" w:cs="仿宋"/>
                <w:szCs w:val="21"/>
              </w:rPr>
              <w:t>（五）教学建议</w:t>
            </w:r>
          </w:p>
          <w:p w14:paraId="6567DF2C">
            <w:pPr>
              <w:adjustRightInd w:val="0"/>
              <w:snapToGrid w:val="0"/>
              <w:spacing w:line="360" w:lineRule="auto"/>
              <w:ind w:firstLine="420" w:firstLineChars="200"/>
              <w:rPr>
                <w:rFonts w:ascii="仿宋" w:hAnsi="仿宋" w:eastAsia="仿宋" w:cs="仿宋"/>
                <w:szCs w:val="21"/>
              </w:rPr>
            </w:pPr>
            <w:r>
              <w:rPr>
                <w:rFonts w:hint="eastAsia" w:ascii="仿宋" w:hAnsi="仿宋" w:eastAsia="仿宋" w:cs="仿宋"/>
                <w:szCs w:val="21"/>
              </w:rPr>
              <w:t>1.教学过程中应特别关注操作规范和国家标准的应用。</w:t>
            </w:r>
          </w:p>
          <w:p w14:paraId="5CE97B7E">
            <w:pPr>
              <w:adjustRightInd w:val="0"/>
              <w:snapToGrid w:val="0"/>
              <w:spacing w:line="360" w:lineRule="auto"/>
              <w:ind w:firstLine="420" w:firstLineChars="200"/>
              <w:rPr>
                <w:rFonts w:ascii="仿宋" w:hAnsi="仿宋" w:eastAsia="仿宋" w:cs="仿宋"/>
                <w:szCs w:val="21"/>
              </w:rPr>
            </w:pPr>
            <w:r>
              <w:rPr>
                <w:rFonts w:hint="eastAsia" w:ascii="仿宋" w:hAnsi="仿宋" w:eastAsia="仿宋" w:cs="仿宋"/>
                <w:szCs w:val="21"/>
              </w:rPr>
              <w:t>2.可将学生进行分组，分别进行任务实施和工作页的填写。</w:t>
            </w:r>
          </w:p>
          <w:p w14:paraId="043368D1">
            <w:pPr>
              <w:adjustRightInd w:val="0"/>
              <w:snapToGrid w:val="0"/>
              <w:spacing w:line="360" w:lineRule="auto"/>
              <w:ind w:firstLine="420" w:firstLineChars="200"/>
              <w:rPr>
                <w:rFonts w:ascii="仿宋" w:hAnsi="仿宋" w:eastAsia="仿宋" w:cs="仿宋"/>
                <w:szCs w:val="21"/>
              </w:rPr>
            </w:pPr>
            <w:r>
              <w:rPr>
                <w:rFonts w:hint="eastAsia" w:ascii="仿宋" w:hAnsi="仿宋" w:eastAsia="仿宋" w:cs="仿宋"/>
                <w:szCs w:val="21"/>
              </w:rPr>
              <w:t>3.提供可接入互联网的工作站进行查阅资料，采用多媒体教学手段。</w:t>
            </w:r>
          </w:p>
          <w:p w14:paraId="4348DDD0">
            <w:pPr>
              <w:adjustRightInd w:val="0"/>
              <w:snapToGrid w:val="0"/>
              <w:spacing w:line="360" w:lineRule="auto"/>
              <w:ind w:firstLine="420" w:firstLineChars="200"/>
              <w:rPr>
                <w:rFonts w:ascii="仿宋" w:hAnsi="仿宋" w:eastAsia="仿宋" w:cs="仿宋"/>
                <w:szCs w:val="21"/>
              </w:rPr>
            </w:pPr>
            <w:r>
              <w:rPr>
                <w:rFonts w:hint="eastAsia" w:ascii="仿宋" w:hAnsi="仿宋" w:eastAsia="仿宋" w:cs="仿宋"/>
                <w:szCs w:val="21"/>
              </w:rPr>
              <w:t>4.教学实施过程中要注意强调安全操作的重要性。</w:t>
            </w:r>
          </w:p>
          <w:p w14:paraId="5D723DC4">
            <w:pPr>
              <w:adjustRightInd w:val="0"/>
              <w:snapToGrid w:val="0"/>
              <w:spacing w:line="360" w:lineRule="auto"/>
              <w:ind w:firstLine="420" w:firstLineChars="200"/>
              <w:rPr>
                <w:rFonts w:ascii="仿宋" w:hAnsi="仿宋" w:eastAsia="仿宋" w:cs="仿宋"/>
                <w:szCs w:val="21"/>
              </w:rPr>
            </w:pPr>
            <w:r>
              <w:rPr>
                <w:rFonts w:hint="eastAsia" w:ascii="仿宋" w:hAnsi="仿宋" w:eastAsia="仿宋" w:cs="仿宋"/>
                <w:szCs w:val="21"/>
              </w:rPr>
              <w:t>5.教学实施过程中要注重软件工具使用的规范性。</w:t>
            </w:r>
          </w:p>
          <w:p w14:paraId="02B873CE">
            <w:pPr>
              <w:adjustRightInd w:val="0"/>
              <w:snapToGrid w:val="0"/>
              <w:spacing w:line="360" w:lineRule="auto"/>
              <w:ind w:firstLine="420" w:firstLineChars="200"/>
              <w:rPr>
                <w:rFonts w:ascii="仿宋" w:hAnsi="仿宋" w:eastAsia="仿宋" w:cs="仿宋"/>
                <w:szCs w:val="21"/>
              </w:rPr>
            </w:pPr>
            <w:r>
              <w:rPr>
                <w:rFonts w:hint="eastAsia" w:ascii="仿宋" w:hAnsi="仿宋" w:eastAsia="仿宋" w:cs="仿宋"/>
                <w:szCs w:val="21"/>
              </w:rPr>
              <w:t>6.教师在授课过程中应更多地引导学生自主学习，成为学生学习的咨询者、促进者、动员者、监督者以及学习绩效的评估和改善者。</w:t>
            </w:r>
          </w:p>
          <w:p w14:paraId="793F5304">
            <w:pPr>
              <w:adjustRightInd w:val="0"/>
              <w:snapToGrid w:val="0"/>
              <w:spacing w:line="360" w:lineRule="auto"/>
              <w:ind w:firstLine="420" w:firstLineChars="200"/>
              <w:rPr>
                <w:rFonts w:ascii="仿宋" w:hAnsi="仿宋" w:eastAsia="仿宋" w:cs="仿宋"/>
                <w:szCs w:val="21"/>
              </w:rPr>
            </w:pPr>
            <w:r>
              <w:rPr>
                <w:rFonts w:hint="eastAsia" w:ascii="仿宋" w:hAnsi="仿宋" w:eastAsia="仿宋" w:cs="仿宋"/>
                <w:szCs w:val="21"/>
              </w:rPr>
              <w:t>7.要设计具有实际使用价值的工作任务，激发学生的学习兴趣。</w:t>
            </w:r>
          </w:p>
          <w:p w14:paraId="37ED8C55">
            <w:pPr>
              <w:tabs>
                <w:tab w:val="left" w:pos="3139"/>
              </w:tabs>
              <w:spacing w:line="360" w:lineRule="auto"/>
              <w:ind w:firstLine="420" w:firstLineChars="200"/>
              <w:jc w:val="left"/>
              <w:rPr>
                <w:rFonts w:hint="eastAsia" w:ascii="仿宋" w:hAnsi="仿宋" w:eastAsia="仿宋" w:cs="仿宋"/>
                <w:color w:val="000000"/>
                <w:kern w:val="0"/>
                <w:sz w:val="24"/>
                <w:szCs w:val="24"/>
                <w:lang w:eastAsia="zh-Hans" w:bidi="ar"/>
              </w:rPr>
            </w:pPr>
            <w:r>
              <w:rPr>
                <w:rFonts w:hint="eastAsia" w:ascii="仿宋" w:hAnsi="仿宋" w:eastAsia="仿宋" w:cs="仿宋"/>
                <w:szCs w:val="21"/>
              </w:rPr>
              <w:t>8.教学中教师要有效地组织和引导学生使用阅读、观摩、查阅资料、展示等各种学习手段，使其逐步养成按照咨询、计划、决策、实施、检查、评估六步法完成工作任务的习惯。</w:t>
            </w:r>
          </w:p>
        </w:tc>
      </w:tr>
      <w:tr w14:paraId="42F50DC7">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644" w:hRule="atLeast"/>
        </w:trPr>
        <w:tc>
          <w:tcPr>
            <w:tcW w:w="9737" w:type="dxa"/>
            <w:gridSpan w:val="8"/>
            <w:tcBorders>
              <w:tl2br w:val="nil"/>
              <w:tr2bl w:val="nil"/>
            </w:tcBorders>
            <w:vAlign w:val="center"/>
          </w:tcPr>
          <w:p w14:paraId="52F5FAD1">
            <w:pPr>
              <w:tabs>
                <w:tab w:val="left" w:pos="3139"/>
              </w:tabs>
              <w:jc w:val="center"/>
              <w:rPr>
                <w:rFonts w:hint="eastAsia" w:ascii="仿宋" w:hAnsi="仿宋" w:eastAsia="仿宋" w:cs="仿宋"/>
                <w:b/>
                <w:bCs/>
                <w:color w:val="000000"/>
                <w:kern w:val="0"/>
                <w:sz w:val="24"/>
                <w:szCs w:val="24"/>
                <w:lang w:eastAsia="zh-Hans" w:bidi="ar"/>
              </w:rPr>
            </w:pPr>
            <w:r>
              <w:rPr>
                <w:rFonts w:hint="eastAsia" w:ascii="仿宋" w:hAnsi="仿宋" w:eastAsia="仿宋" w:cs="仿宋"/>
                <w:b/>
                <w:bCs/>
                <w:color w:val="000000"/>
                <w:kern w:val="0"/>
                <w:sz w:val="24"/>
                <w:szCs w:val="24"/>
                <w:lang w:eastAsia="zh-Hans" w:bidi="ar"/>
              </w:rPr>
              <w:t>教学考核要求</w:t>
            </w:r>
          </w:p>
        </w:tc>
      </w:tr>
      <w:tr w14:paraId="5F822008">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9737" w:type="dxa"/>
            <w:gridSpan w:val="8"/>
            <w:tcBorders>
              <w:tl2br w:val="nil"/>
              <w:tr2bl w:val="nil"/>
            </w:tcBorders>
            <w:vAlign w:val="center"/>
          </w:tcPr>
          <w:p w14:paraId="296EC538">
            <w:pPr>
              <w:adjustRightInd w:val="0"/>
              <w:snapToGrid w:val="0"/>
              <w:spacing w:line="360" w:lineRule="auto"/>
              <w:ind w:firstLine="420" w:firstLineChars="200"/>
              <w:jc w:val="left"/>
              <w:rPr>
                <w:rFonts w:ascii="仿宋" w:hAnsi="仿宋" w:eastAsia="仿宋" w:cs="仿宋"/>
                <w:szCs w:val="21"/>
              </w:rPr>
            </w:pPr>
            <w:r>
              <w:rPr>
                <w:rFonts w:hint="eastAsia" w:ascii="仿宋" w:hAnsi="仿宋" w:eastAsia="仿宋" w:cs="仿宋"/>
                <w:szCs w:val="21"/>
              </w:rPr>
              <w:t>本课程考核采用过程性考核与终结性考核相结合方式，课程考核成绩=过程性考核70%+终结性考核30%。</w:t>
            </w:r>
          </w:p>
          <w:p w14:paraId="1990AE4B">
            <w:pPr>
              <w:adjustRightInd w:val="0"/>
              <w:snapToGrid w:val="0"/>
              <w:spacing w:line="360" w:lineRule="auto"/>
              <w:ind w:firstLine="420" w:firstLineChars="200"/>
              <w:jc w:val="left"/>
              <w:rPr>
                <w:rFonts w:ascii="仿宋" w:hAnsi="仿宋" w:eastAsia="仿宋" w:cs="仿宋"/>
                <w:szCs w:val="21"/>
              </w:rPr>
            </w:pPr>
            <w:r>
              <w:rPr>
                <w:rFonts w:hint="eastAsia" w:ascii="仿宋" w:hAnsi="仿宋" w:eastAsia="仿宋" w:cs="仿宋"/>
                <w:szCs w:val="21"/>
              </w:rPr>
              <w:t>1.过程性考核（70%）</w:t>
            </w:r>
          </w:p>
          <w:p w14:paraId="5E7B2885">
            <w:pPr>
              <w:adjustRightInd w:val="0"/>
              <w:snapToGrid w:val="0"/>
              <w:spacing w:line="360" w:lineRule="auto"/>
              <w:ind w:firstLine="420" w:firstLineChars="200"/>
              <w:jc w:val="left"/>
              <w:rPr>
                <w:rFonts w:ascii="仿宋" w:hAnsi="仿宋" w:eastAsia="仿宋" w:cs="仿宋"/>
                <w:szCs w:val="21"/>
              </w:rPr>
            </w:pPr>
            <w:r>
              <w:rPr>
                <w:rFonts w:hint="eastAsia" w:ascii="仿宋" w:hAnsi="仿宋" w:eastAsia="仿宋" w:cs="仿宋"/>
                <w:szCs w:val="21"/>
              </w:rPr>
              <w:t>过程性考核成绩由4个参考性学习任务考核成绩构成。其中，文本数据标注的考核成绩占比25%；图像数据标注的考核成绩占比30%；视频数据标注的考核成绩占比25%；语音数据标注的考核成绩占比20%。</w:t>
            </w:r>
          </w:p>
          <w:p w14:paraId="35CE55C7">
            <w:pPr>
              <w:adjustRightInd w:val="0"/>
              <w:snapToGrid w:val="0"/>
              <w:spacing w:line="360" w:lineRule="auto"/>
              <w:ind w:firstLine="420" w:firstLineChars="200"/>
              <w:jc w:val="left"/>
              <w:rPr>
                <w:rFonts w:ascii="仿宋" w:hAnsi="仿宋" w:eastAsia="仿宋" w:cs="仿宋"/>
                <w:szCs w:val="21"/>
              </w:rPr>
            </w:pPr>
            <w:r>
              <w:rPr>
                <w:rFonts w:hint="eastAsia" w:ascii="仿宋" w:hAnsi="仿宋" w:eastAsia="仿宋" w:cs="仿宋"/>
                <w:szCs w:val="21"/>
              </w:rPr>
              <w:t>上述参考性学习任务的考核应以其学习目标为依据确定考核要点，设计考核项目。考核项目可分为技能考核类、学习成果类和通用能力观察类等类别，通过细化其评分细则，分别从专业能力、通用能力等维度对学生学习情况进行考核。</w:t>
            </w:r>
          </w:p>
          <w:p w14:paraId="47BD7681">
            <w:pPr>
              <w:adjustRightInd w:val="0"/>
              <w:snapToGrid w:val="0"/>
              <w:spacing w:line="360" w:lineRule="auto"/>
              <w:ind w:firstLine="420" w:firstLineChars="200"/>
              <w:jc w:val="left"/>
              <w:rPr>
                <w:rFonts w:ascii="仿宋" w:hAnsi="仿宋" w:eastAsia="仿宋" w:cs="仿宋"/>
                <w:szCs w:val="21"/>
              </w:rPr>
            </w:pPr>
            <w:r>
              <w:rPr>
                <w:rFonts w:hint="eastAsia" w:ascii="仿宋" w:hAnsi="仿宋" w:eastAsia="仿宋" w:cs="仿宋"/>
                <w:szCs w:val="21"/>
              </w:rPr>
              <w:t>（1）技能考核类考核项目可包括工具材料的选用，数据标注平台的搭建与配置，文本类、图像类、视频类、语音类数据的标注、标注质量的检验等关键的操作技能和心智技能。</w:t>
            </w:r>
          </w:p>
          <w:p w14:paraId="4A780A14">
            <w:pPr>
              <w:adjustRightInd w:val="0"/>
              <w:snapToGrid w:val="0"/>
              <w:spacing w:line="360" w:lineRule="auto"/>
              <w:ind w:firstLine="420" w:firstLineChars="200"/>
              <w:jc w:val="left"/>
              <w:rPr>
                <w:rFonts w:ascii="仿宋" w:hAnsi="仿宋" w:eastAsia="仿宋" w:cs="仿宋"/>
                <w:szCs w:val="21"/>
              </w:rPr>
            </w:pPr>
            <w:r>
              <w:rPr>
                <w:rFonts w:hint="eastAsia" w:ascii="仿宋" w:hAnsi="仿宋" w:eastAsia="仿宋" w:cs="仿宋"/>
                <w:szCs w:val="21"/>
              </w:rPr>
              <w:t>（2）学习成果类考核项目涉及各学习环节产出的学习成果，可运用工作流程图、标签数据集、数据标注方案、数据审核报告、数据分析报告、工作日志等多种形式。</w:t>
            </w:r>
          </w:p>
          <w:p w14:paraId="7A278B96">
            <w:pPr>
              <w:adjustRightInd w:val="0"/>
              <w:snapToGrid w:val="0"/>
              <w:spacing w:line="360" w:lineRule="auto"/>
              <w:ind w:firstLine="420" w:firstLineChars="200"/>
              <w:jc w:val="left"/>
              <w:rPr>
                <w:rFonts w:ascii="仿宋" w:hAnsi="仿宋" w:eastAsia="仿宋" w:cs="仿宋"/>
                <w:szCs w:val="21"/>
              </w:rPr>
            </w:pPr>
            <w:r>
              <w:rPr>
                <w:rFonts w:hint="eastAsia" w:ascii="仿宋" w:hAnsi="仿宋" w:eastAsia="仿宋" w:cs="仿宋"/>
                <w:szCs w:val="21"/>
              </w:rPr>
              <w:t>（3）通用能力观察类考核项目可包括信息处理、与人交流、交往与合作、解决问题、安全意识、质量意识、隐私保护意识、耐心细致、精益求精等学生学习过程中表现出来的通用能力和职业素养。</w:t>
            </w:r>
          </w:p>
          <w:p w14:paraId="5A22F007">
            <w:pPr>
              <w:adjustRightInd w:val="0"/>
              <w:snapToGrid w:val="0"/>
              <w:spacing w:line="360" w:lineRule="auto"/>
              <w:ind w:firstLine="420" w:firstLineChars="200"/>
              <w:jc w:val="left"/>
              <w:rPr>
                <w:rFonts w:ascii="仿宋" w:hAnsi="仿宋" w:eastAsia="仿宋" w:cs="仿宋"/>
                <w:szCs w:val="21"/>
              </w:rPr>
            </w:pPr>
            <w:r>
              <w:rPr>
                <w:rFonts w:hint="eastAsia" w:ascii="仿宋" w:hAnsi="仿宋" w:eastAsia="仿宋" w:cs="仿宋"/>
                <w:szCs w:val="21"/>
              </w:rPr>
              <w:t>2.终结性考核（30%）</w:t>
            </w:r>
          </w:p>
          <w:p w14:paraId="095F242C">
            <w:pPr>
              <w:adjustRightInd w:val="0"/>
              <w:snapToGrid w:val="0"/>
              <w:spacing w:line="360" w:lineRule="auto"/>
              <w:ind w:firstLine="420" w:firstLineChars="200"/>
              <w:jc w:val="left"/>
              <w:rPr>
                <w:rFonts w:ascii="仿宋" w:hAnsi="仿宋" w:eastAsia="仿宋" w:cs="仿宋"/>
                <w:szCs w:val="21"/>
              </w:rPr>
            </w:pPr>
            <w:r>
              <w:rPr>
                <w:rFonts w:hint="eastAsia" w:ascii="仿宋" w:hAnsi="仿宋" w:eastAsia="仿宋" w:cs="仿宋"/>
                <w:szCs w:val="21"/>
              </w:rPr>
              <w:t>终结性考核应围绕本课程目标，结合课程终结性考核要点，选择企业真实工作任务或设计学习任务进行考核。选取或设计终结性考核任务时，需体现考核任务的综合性及实施难度。本课程各参考性学习任务间难度呈现并列关系，本终结性考核任务参照第2、4个学习任务的考核要求进行综合设计。</w:t>
            </w:r>
          </w:p>
          <w:p w14:paraId="21FB677B">
            <w:pPr>
              <w:adjustRightInd w:val="0"/>
              <w:snapToGrid w:val="0"/>
              <w:spacing w:line="360" w:lineRule="auto"/>
              <w:ind w:firstLine="420" w:firstLineChars="200"/>
              <w:jc w:val="left"/>
              <w:rPr>
                <w:rFonts w:ascii="仿宋" w:hAnsi="仿宋" w:eastAsia="仿宋" w:cs="仿宋"/>
                <w:szCs w:val="21"/>
              </w:rPr>
            </w:pPr>
            <w:r>
              <w:rPr>
                <w:rFonts w:hint="eastAsia" w:ascii="仿宋" w:hAnsi="仿宋" w:eastAsia="仿宋" w:cs="仿宋"/>
                <w:szCs w:val="21"/>
              </w:rPr>
              <w:t>学生根据任务情境中的要求，查找行业相关标准和企业操作规程，明确作业流程，领取设备、工具、材料，按照数据标注工作流程，在规定时间内完成数据的标注，作业完成后应符合数据标注的验收标准，通过用户的验收。</w:t>
            </w:r>
          </w:p>
          <w:p w14:paraId="44BD95B4">
            <w:pPr>
              <w:adjustRightInd w:val="0"/>
              <w:snapToGrid w:val="0"/>
              <w:spacing w:line="360" w:lineRule="auto"/>
              <w:ind w:firstLine="420" w:firstLineChars="200"/>
              <w:jc w:val="left"/>
              <w:rPr>
                <w:rFonts w:ascii="仿宋" w:hAnsi="仿宋" w:eastAsia="仿宋" w:cs="仿宋"/>
                <w:szCs w:val="21"/>
              </w:rPr>
            </w:pPr>
            <w:r>
              <w:rPr>
                <w:rFonts w:hint="eastAsia" w:ascii="仿宋" w:hAnsi="仿宋" w:eastAsia="仿宋" w:cs="仿宋"/>
                <w:szCs w:val="21"/>
              </w:rPr>
              <w:t>考核任务案例：智慧水果农场导购系统数据标注。</w:t>
            </w:r>
          </w:p>
          <w:p w14:paraId="3824E0D3">
            <w:pPr>
              <w:adjustRightInd w:val="0"/>
              <w:snapToGrid w:val="0"/>
              <w:spacing w:line="360" w:lineRule="auto"/>
              <w:ind w:firstLine="420" w:firstLineChars="200"/>
              <w:jc w:val="left"/>
              <w:rPr>
                <w:rFonts w:ascii="仿宋" w:hAnsi="仿宋" w:eastAsia="仿宋" w:cs="仿宋"/>
                <w:szCs w:val="21"/>
              </w:rPr>
            </w:pPr>
            <w:r>
              <w:rPr>
                <w:rFonts w:hint="eastAsia" w:ascii="仿宋" w:hAnsi="仿宋" w:eastAsia="仿宋" w:cs="仿宋"/>
                <w:szCs w:val="21"/>
              </w:rPr>
              <w:t>【情境描述】</w:t>
            </w:r>
          </w:p>
          <w:p w14:paraId="79D1CE99">
            <w:pPr>
              <w:adjustRightInd w:val="0"/>
              <w:snapToGrid w:val="0"/>
              <w:spacing w:line="360" w:lineRule="auto"/>
              <w:ind w:firstLine="420" w:firstLineChars="200"/>
              <w:jc w:val="left"/>
              <w:rPr>
                <w:rFonts w:ascii="仿宋" w:hAnsi="仿宋" w:eastAsia="仿宋" w:cs="仿宋"/>
                <w:szCs w:val="21"/>
              </w:rPr>
            </w:pPr>
            <w:r>
              <w:rPr>
                <w:rFonts w:hint="eastAsia" w:ascii="仿宋" w:hAnsi="仿宋" w:eastAsia="仿宋" w:cs="仿宋"/>
                <w:szCs w:val="21"/>
              </w:rPr>
              <w:t>某科技公司为某大型水果农场提供一款智能导购系统，消费者通过手机小程序拍照上传想要的产品图片或语音描述想要的产品信息，根据提供的图片或语音信息，系统进行识别与判断，给消费者推荐相关产品信息，并提示消费者该产品的采摘/购买地址，帮助消费者方便快捷地找到自己想要的产品，助推农业转型升级。现项目处于数据标注阶段，科技公司的标注工程师完成5万张水果图片的拉框标注，以及5万条语音数据的有效性判断、内容截取和内容转写，交付水果农场管理者验收，完成时间24学时。</w:t>
            </w:r>
          </w:p>
          <w:p w14:paraId="00EFBC85">
            <w:pPr>
              <w:adjustRightInd w:val="0"/>
              <w:snapToGrid w:val="0"/>
              <w:spacing w:line="360" w:lineRule="auto"/>
              <w:ind w:firstLine="420" w:firstLineChars="200"/>
              <w:jc w:val="left"/>
              <w:rPr>
                <w:rFonts w:ascii="仿宋" w:hAnsi="仿宋" w:eastAsia="仿宋" w:cs="仿宋"/>
                <w:szCs w:val="21"/>
              </w:rPr>
            </w:pPr>
            <w:r>
              <w:rPr>
                <w:rFonts w:hint="eastAsia" w:ascii="仿宋" w:hAnsi="仿宋" w:eastAsia="仿宋" w:cs="仿宋"/>
                <w:szCs w:val="21"/>
              </w:rPr>
              <w:t>【任务要求】</w:t>
            </w:r>
          </w:p>
          <w:p w14:paraId="081FF464">
            <w:pPr>
              <w:adjustRightInd w:val="0"/>
              <w:snapToGrid w:val="0"/>
              <w:spacing w:line="360" w:lineRule="auto"/>
              <w:ind w:firstLine="420" w:firstLineChars="200"/>
              <w:jc w:val="left"/>
              <w:rPr>
                <w:rFonts w:ascii="仿宋" w:hAnsi="仿宋" w:eastAsia="仿宋" w:cs="仿宋"/>
                <w:szCs w:val="21"/>
              </w:rPr>
            </w:pPr>
            <w:r>
              <w:rPr>
                <w:rFonts w:hint="eastAsia" w:ascii="仿宋" w:hAnsi="仿宋" w:eastAsia="仿宋" w:cs="仿宋"/>
                <w:szCs w:val="21"/>
              </w:rPr>
              <w:t>根据任务的情境描述，在规定时间内完成智慧水果农场导购系统数据标注任务：</w:t>
            </w:r>
          </w:p>
          <w:p w14:paraId="4CEF4B0A">
            <w:pPr>
              <w:adjustRightInd w:val="0"/>
              <w:snapToGrid w:val="0"/>
              <w:spacing w:line="360" w:lineRule="auto"/>
              <w:ind w:firstLine="420" w:firstLineChars="200"/>
              <w:jc w:val="left"/>
              <w:rPr>
                <w:rFonts w:ascii="仿宋" w:hAnsi="仿宋" w:eastAsia="仿宋" w:cs="仿宋"/>
                <w:szCs w:val="21"/>
              </w:rPr>
            </w:pPr>
            <w:r>
              <w:rPr>
                <w:rFonts w:hint="eastAsia" w:ascii="仿宋" w:hAnsi="仿宋" w:eastAsia="仿宋" w:cs="仿宋"/>
                <w:szCs w:val="21"/>
              </w:rPr>
              <w:t>（1）能阅读工作任务单，提取业务数据的标注内容、标注数量、标注范围、工期要求等工作信息，与教师进行有效的专业沟通并确认。</w:t>
            </w:r>
          </w:p>
          <w:p w14:paraId="131E9225">
            <w:pPr>
              <w:adjustRightInd w:val="0"/>
              <w:snapToGrid w:val="0"/>
              <w:spacing w:line="360" w:lineRule="auto"/>
              <w:ind w:firstLine="420" w:firstLineChars="200"/>
              <w:jc w:val="left"/>
              <w:rPr>
                <w:rFonts w:ascii="仿宋" w:hAnsi="仿宋" w:eastAsia="仿宋" w:cs="仿宋"/>
                <w:szCs w:val="21"/>
              </w:rPr>
            </w:pPr>
            <w:r>
              <w:rPr>
                <w:rFonts w:hint="eastAsia" w:ascii="仿宋" w:hAnsi="仿宋" w:eastAsia="仿宋" w:cs="仿宋"/>
                <w:szCs w:val="21"/>
              </w:rPr>
              <w:t>（2）梳理交付流程和交付标准，制定标注样本及其使用说明，向老师展示说明。</w:t>
            </w:r>
          </w:p>
          <w:p w14:paraId="16D94699">
            <w:pPr>
              <w:adjustRightInd w:val="0"/>
              <w:snapToGrid w:val="0"/>
              <w:spacing w:line="360" w:lineRule="auto"/>
              <w:ind w:firstLine="420" w:firstLineChars="200"/>
              <w:jc w:val="left"/>
              <w:rPr>
                <w:rFonts w:ascii="仿宋" w:hAnsi="仿宋" w:eastAsia="仿宋" w:cs="仿宋"/>
                <w:szCs w:val="21"/>
              </w:rPr>
            </w:pPr>
            <w:r>
              <w:rPr>
                <w:rFonts w:hint="eastAsia" w:ascii="仿宋" w:hAnsi="仿宋" w:eastAsia="仿宋" w:cs="仿宋"/>
                <w:szCs w:val="21"/>
              </w:rPr>
              <w:t>（3）制定工期安排和人员分配计划甘特图，正确选择数据标注工具/平台，形成演示文稿并向教师汇报。</w:t>
            </w:r>
          </w:p>
          <w:p w14:paraId="2876150E">
            <w:pPr>
              <w:adjustRightInd w:val="0"/>
              <w:snapToGrid w:val="0"/>
              <w:spacing w:line="360" w:lineRule="auto"/>
              <w:ind w:firstLine="420" w:firstLineChars="200"/>
              <w:jc w:val="left"/>
              <w:rPr>
                <w:rFonts w:ascii="仿宋" w:hAnsi="仿宋" w:eastAsia="仿宋" w:cs="仿宋"/>
                <w:szCs w:val="21"/>
              </w:rPr>
            </w:pPr>
            <w:r>
              <w:rPr>
                <w:rFonts w:hint="eastAsia" w:ascii="仿宋" w:hAnsi="仿宋" w:eastAsia="仿宋" w:cs="仿宋"/>
                <w:szCs w:val="21"/>
              </w:rPr>
              <w:t>（4）编写程序，完成数据命名和格式的批量转换；正确安装、配置及使用标注工具/平台，完成对图</w:t>
            </w:r>
          </w:p>
          <w:p w14:paraId="551279C6">
            <w:pPr>
              <w:adjustRightInd w:val="0"/>
              <w:snapToGrid w:val="0"/>
              <w:spacing w:line="360" w:lineRule="auto"/>
              <w:ind w:firstLine="420" w:firstLineChars="200"/>
              <w:jc w:val="left"/>
              <w:rPr>
                <w:rFonts w:ascii="仿宋" w:hAnsi="仿宋" w:eastAsia="仿宋" w:cs="仿宋"/>
                <w:szCs w:val="21"/>
              </w:rPr>
            </w:pPr>
            <w:r>
              <w:rPr>
                <w:rFonts w:hint="eastAsia" w:ascii="仿宋" w:hAnsi="仿宋" w:eastAsia="仿宋" w:cs="仿宋"/>
                <w:szCs w:val="21"/>
              </w:rPr>
              <w:t>像数据关键点、分类、区域、图片属性等内容的标注，完成对语音数据的有效性判断、内容分割、内容转写。</w:t>
            </w:r>
          </w:p>
          <w:p w14:paraId="40D689E8">
            <w:pPr>
              <w:adjustRightInd w:val="0"/>
              <w:snapToGrid w:val="0"/>
              <w:spacing w:line="360" w:lineRule="auto"/>
              <w:ind w:firstLine="420" w:firstLineChars="200"/>
              <w:jc w:val="left"/>
              <w:rPr>
                <w:rFonts w:ascii="仿宋" w:hAnsi="仿宋" w:eastAsia="仿宋" w:cs="仿宋"/>
                <w:szCs w:val="21"/>
              </w:rPr>
            </w:pPr>
            <w:r>
              <w:rPr>
                <w:rFonts w:hint="eastAsia" w:ascii="仿宋" w:hAnsi="仿宋" w:eastAsia="仿宋" w:cs="仿宋"/>
                <w:szCs w:val="21"/>
              </w:rPr>
              <w:t>（5）选择合适的质检方法，审核标注数据的准确性和一致性，纠正异常值和错误标注；编写数据审核报告，要求条理清楚、重点突出、图文并茂。</w:t>
            </w:r>
          </w:p>
          <w:p w14:paraId="01754F1E">
            <w:pPr>
              <w:adjustRightInd w:val="0"/>
              <w:snapToGrid w:val="0"/>
              <w:spacing w:line="360" w:lineRule="auto"/>
              <w:ind w:firstLine="420" w:firstLineChars="200"/>
              <w:jc w:val="left"/>
              <w:rPr>
                <w:rFonts w:ascii="仿宋" w:hAnsi="仿宋" w:eastAsia="仿宋" w:cs="仿宋"/>
                <w:szCs w:val="21"/>
              </w:rPr>
            </w:pPr>
            <w:r>
              <w:rPr>
                <w:rFonts w:hint="eastAsia" w:ascii="仿宋" w:hAnsi="仿宋" w:eastAsia="仿宋" w:cs="仿宋"/>
                <w:szCs w:val="21"/>
              </w:rPr>
              <w:t>（6）将整理好的交付文件移交老师，通过教师验收；总结、展示汇报本次数据标注交付的技术要点，分析不足，提出改进措施。</w:t>
            </w:r>
          </w:p>
          <w:p w14:paraId="0C68F078">
            <w:pPr>
              <w:adjustRightInd w:val="0"/>
              <w:snapToGrid w:val="0"/>
              <w:spacing w:line="360" w:lineRule="auto"/>
              <w:ind w:firstLine="420" w:firstLineChars="200"/>
              <w:jc w:val="left"/>
              <w:rPr>
                <w:rFonts w:ascii="仿宋" w:hAnsi="仿宋" w:eastAsia="仿宋" w:cs="仿宋"/>
                <w:szCs w:val="21"/>
              </w:rPr>
            </w:pPr>
            <w:r>
              <w:rPr>
                <w:rFonts w:hint="eastAsia" w:ascii="仿宋" w:hAnsi="仿宋" w:eastAsia="仿宋" w:cs="仿宋"/>
                <w:szCs w:val="21"/>
              </w:rPr>
              <w:t>【参考资料】</w:t>
            </w:r>
          </w:p>
          <w:p w14:paraId="7B046004">
            <w:pPr>
              <w:spacing w:line="360" w:lineRule="auto"/>
              <w:ind w:firstLine="411" w:firstLineChars="196"/>
              <w:jc w:val="left"/>
              <w:rPr>
                <w:rFonts w:hint="eastAsia" w:ascii="仿宋" w:hAnsi="仿宋" w:eastAsia="仿宋" w:cs="仿宋"/>
                <w:color w:val="000000" w:themeColor="text1"/>
                <w:kern w:val="0"/>
                <w:sz w:val="24"/>
                <w:szCs w:val="24"/>
                <w14:textFill>
                  <w14:solidFill>
                    <w14:schemeClr w14:val="tx1"/>
                  </w14:solidFill>
                </w14:textFill>
              </w:rPr>
            </w:pPr>
            <w:r>
              <w:rPr>
                <w:rFonts w:hint="eastAsia" w:ascii="仿宋" w:hAnsi="仿宋" w:eastAsia="仿宋" w:cs="仿宋"/>
                <w:szCs w:val="21"/>
              </w:rPr>
              <w:t>完成上述任务时，可以使用所有常见的教学资料，如工作页、信息页、教材、课件、微课、案例素材、工具或技术指南、交付方案、规范/标准文件、网络在线教学资源等。</w:t>
            </w:r>
            <w:bookmarkStart w:id="1" w:name="_GoBack"/>
            <w:bookmarkEnd w:id="1"/>
          </w:p>
        </w:tc>
      </w:tr>
    </w:tbl>
    <w:p w14:paraId="7CE6C99D"/>
    <w:p w14:paraId="0EC4BB49">
      <w:pPr>
        <w:jc w:val="left"/>
        <w:rPr>
          <w:rFonts w:ascii="宋体" w:hAnsi="宋体" w:eastAsia="宋体"/>
          <w:b/>
          <w:bCs/>
          <w:sz w:val="32"/>
          <w:szCs w:val="32"/>
        </w:rPr>
      </w:pPr>
    </w:p>
    <w:sectPr>
      <w:pgSz w:w="11906" w:h="16838"/>
      <w:pgMar w:top="1440" w:right="1083" w:bottom="1440" w:left="1083" w:header="851" w:footer="992" w:gutter="0"/>
      <w:pgBorders>
        <w:top w:val="none" w:sz="0" w:space="0"/>
        <w:left w:val="none" w:sz="0" w:space="0"/>
        <w:bottom w:val="none" w:sz="0" w:space="0"/>
        <w:right w:val="none" w:sz="0" w:space="0"/>
      </w:pgBorders>
      <w:cols w:space="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panose1 w:val="02010600030101010101"/>
    <w:charset w:val="7A"/>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panose1 w:val="02010600030101010101"/>
    <w:charset w:val="86"/>
    <w:family w:val="auto"/>
    <w:pitch w:val="default"/>
    <w:sig w:usb0="A00002BF" w:usb1="38CF7CFA" w:usb2="00000016" w:usb3="00000000" w:csb0="0004000F" w:csb1="00000000"/>
  </w:font>
  <w:font w:name="仿宋_GB2312">
    <w:panose1 w:val="02010609030101010101"/>
    <w:charset w:val="86"/>
    <w:family w:val="roman"/>
    <w:pitch w:val="default"/>
    <w:sig w:usb0="00000001" w:usb1="080E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楷体">
    <w:panose1 w:val="02010609060101010101"/>
    <w:charset w:val="86"/>
    <w:family w:val="modern"/>
    <w:pitch w:val="default"/>
    <w:sig w:usb0="800002BF" w:usb1="38CF7CFA" w:usb2="00000016" w:usb3="00000000" w:csb0="00040001" w:csb1="00000000"/>
  </w:font>
  <w:font w:name="仿宋">
    <w:panose1 w:val="02010609060101010101"/>
    <w:charset w:val="86"/>
    <w:family w:val="modern"/>
    <w:pitch w:val="default"/>
    <w:sig w:usb0="800002BF" w:usb1="38CF7CFA" w:usb2="00000016" w:usb3="00000000" w:csb0="00040001" w:csb1="00000000"/>
  </w:font>
  <w:font w:name="Calibri">
    <w:panose1 w:val="020F0502020204030204"/>
    <w:charset w:val="01"/>
    <w:family w:val="auto"/>
    <w:pitch w:val="default"/>
    <w:sig w:usb0="E4002EFF" w:usb1="C0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60"/>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ODU3YmE0YzllZTU5NzhkZTNiMjc5ZTA4MjdkMWIzNjIifQ=="/>
  </w:docVars>
  <w:rsids>
    <w:rsidRoot w:val="00172A27"/>
    <w:rsid w:val="000E702C"/>
    <w:rsid w:val="0050324C"/>
    <w:rsid w:val="00565389"/>
    <w:rsid w:val="0058016A"/>
    <w:rsid w:val="005E3E4E"/>
    <w:rsid w:val="00713151"/>
    <w:rsid w:val="008B4053"/>
    <w:rsid w:val="00910152"/>
    <w:rsid w:val="00A43F01"/>
    <w:rsid w:val="00C32844"/>
    <w:rsid w:val="00C7151B"/>
    <w:rsid w:val="00D81079"/>
    <w:rsid w:val="00D957E3"/>
    <w:rsid w:val="00DB6D8A"/>
    <w:rsid w:val="00EA760D"/>
    <w:rsid w:val="00F249C9"/>
    <w:rsid w:val="0583779A"/>
    <w:rsid w:val="0C2E1C89"/>
    <w:rsid w:val="0EA6217F"/>
    <w:rsid w:val="14C63F5F"/>
    <w:rsid w:val="26264154"/>
    <w:rsid w:val="2D5269EE"/>
    <w:rsid w:val="2F6A0A2C"/>
    <w:rsid w:val="2FB17F56"/>
    <w:rsid w:val="32697AA0"/>
    <w:rsid w:val="3644400D"/>
    <w:rsid w:val="3938118D"/>
    <w:rsid w:val="3DDB2DEE"/>
    <w:rsid w:val="42FE2086"/>
    <w:rsid w:val="43FD725B"/>
    <w:rsid w:val="44C352B4"/>
    <w:rsid w:val="45763B1A"/>
    <w:rsid w:val="47655843"/>
    <w:rsid w:val="4B7E6C9F"/>
    <w:rsid w:val="51613C02"/>
    <w:rsid w:val="520B4F9B"/>
    <w:rsid w:val="55C82F4A"/>
    <w:rsid w:val="5BEA0D98"/>
    <w:rsid w:val="630F6818"/>
    <w:rsid w:val="671D3982"/>
    <w:rsid w:val="693370F8"/>
    <w:rsid w:val="69752E51"/>
    <w:rsid w:val="71C25989"/>
    <w:rsid w:val="71D678CD"/>
    <w:rsid w:val="781754D1"/>
    <w:rsid w:val="781A1483"/>
    <w:rsid w:val="79E620DF"/>
    <w:rsid w:val="7A2C4240"/>
    <w:rsid w:val="7EA321D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nhideWhenUsed="0" w:uiPriority="0"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0"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next w:val="2"/>
    <w:autoRedefine/>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8">
    <w:name w:val="Default Paragraph Font"/>
    <w:autoRedefine/>
    <w:semiHidden/>
    <w:unhideWhenUsed/>
    <w:qFormat/>
    <w:uiPriority w:val="1"/>
  </w:style>
  <w:style w:type="table" w:default="1" w:styleId="6">
    <w:name w:val="Normal Table"/>
    <w:autoRedefine/>
    <w:semiHidden/>
    <w:unhideWhenUsed/>
    <w:qFormat/>
    <w:uiPriority w:val="99"/>
    <w:tblPr>
      <w:tblCellMar>
        <w:top w:w="0" w:type="dxa"/>
        <w:left w:w="108" w:type="dxa"/>
        <w:bottom w:w="0" w:type="dxa"/>
        <w:right w:w="108" w:type="dxa"/>
      </w:tblCellMar>
    </w:tblPr>
  </w:style>
  <w:style w:type="paragraph" w:styleId="2">
    <w:name w:val="Body Text"/>
    <w:basedOn w:val="1"/>
    <w:autoRedefine/>
    <w:qFormat/>
    <w:uiPriority w:val="0"/>
    <w:pPr>
      <w:widowControl/>
      <w:spacing w:line="520" w:lineRule="exact"/>
      <w:jc w:val="left"/>
    </w:pPr>
    <w:rPr>
      <w:rFonts w:hAnsi="宋体" w:eastAsia="仿宋_GB2312" w:cs="宋体"/>
      <w:kern w:val="0"/>
      <w:sz w:val="32"/>
      <w:szCs w:val="32"/>
    </w:rPr>
  </w:style>
  <w:style w:type="paragraph" w:styleId="3">
    <w:name w:val="annotation text"/>
    <w:basedOn w:val="1"/>
    <w:autoRedefine/>
    <w:semiHidden/>
    <w:unhideWhenUsed/>
    <w:qFormat/>
    <w:uiPriority w:val="99"/>
    <w:pPr>
      <w:jc w:val="left"/>
    </w:pPr>
  </w:style>
  <w:style w:type="paragraph" w:styleId="4">
    <w:name w:val="footer"/>
    <w:basedOn w:val="1"/>
    <w:link w:val="10"/>
    <w:autoRedefine/>
    <w:unhideWhenUsed/>
    <w:qFormat/>
    <w:uiPriority w:val="99"/>
    <w:pPr>
      <w:tabs>
        <w:tab w:val="center" w:pos="4153"/>
        <w:tab w:val="right" w:pos="8306"/>
      </w:tabs>
      <w:snapToGrid w:val="0"/>
      <w:jc w:val="left"/>
    </w:pPr>
    <w:rPr>
      <w:sz w:val="18"/>
      <w:szCs w:val="18"/>
    </w:rPr>
  </w:style>
  <w:style w:type="paragraph" w:styleId="5">
    <w:name w:val="header"/>
    <w:basedOn w:val="1"/>
    <w:link w:val="9"/>
    <w:autoRedefine/>
    <w:unhideWhenUsed/>
    <w:qFormat/>
    <w:uiPriority w:val="99"/>
    <w:pPr>
      <w:pBdr>
        <w:bottom w:val="single" w:color="auto" w:sz="6" w:space="1"/>
      </w:pBdr>
      <w:tabs>
        <w:tab w:val="center" w:pos="4153"/>
        <w:tab w:val="right" w:pos="8306"/>
      </w:tabs>
      <w:snapToGrid w:val="0"/>
      <w:jc w:val="center"/>
    </w:pPr>
    <w:rPr>
      <w:sz w:val="18"/>
      <w:szCs w:val="18"/>
    </w:rPr>
  </w:style>
  <w:style w:type="table" w:styleId="7">
    <w:name w:val="Table Grid"/>
    <w:basedOn w:val="6"/>
    <w:autoRedefine/>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9">
    <w:name w:val="页眉 字符"/>
    <w:basedOn w:val="8"/>
    <w:link w:val="5"/>
    <w:autoRedefine/>
    <w:qFormat/>
    <w:uiPriority w:val="99"/>
    <w:rPr>
      <w:sz w:val="18"/>
      <w:szCs w:val="18"/>
    </w:rPr>
  </w:style>
  <w:style w:type="character" w:customStyle="1" w:styleId="10">
    <w:name w:val="页脚 字符"/>
    <w:basedOn w:val="8"/>
    <w:link w:val="4"/>
    <w:autoRedefine/>
    <w:qFormat/>
    <w:uiPriority w:val="99"/>
    <w:rPr>
      <w:sz w:val="18"/>
      <w:szCs w:val="18"/>
    </w:rPr>
  </w:style>
  <w:style w:type="paragraph" w:styleId="11">
    <w:name w:val="List Paragraph"/>
    <w:basedOn w:val="1"/>
    <w:autoRedefine/>
    <w:qFormat/>
    <w:uiPriority w:val="34"/>
    <w:pPr>
      <w:ind w:firstLine="420" w:firstLineChars="200"/>
    </w:pPr>
  </w:style>
  <w:style w:type="paragraph" w:customStyle="1" w:styleId="12">
    <w:name w:val="Table Text"/>
    <w:basedOn w:val="1"/>
    <w:autoRedefine/>
    <w:semiHidden/>
    <w:qFormat/>
    <w:uiPriority w:val="0"/>
    <w:rPr>
      <w:rFonts w:ascii="微软雅黑" w:hAnsi="微软雅黑" w:eastAsia="微软雅黑" w:cs="微软雅黑"/>
      <w:sz w:val="18"/>
      <w:szCs w:val="18"/>
      <w:lang w:val="en-US" w:eastAsia="en-US" w:bidi="ar-SA"/>
    </w:rPr>
  </w:style>
  <w:style w:type="table" w:customStyle="1" w:styleId="13">
    <w:name w:val="Table Normal"/>
    <w:autoRedefine/>
    <w:semiHidden/>
    <w:unhideWhenUsed/>
    <w:qFormat/>
    <w:uiPriority w:val="0"/>
    <w:tblPr>
      <w:tblCellMar>
        <w:top w:w="0" w:type="dxa"/>
        <w:left w:w="0" w:type="dxa"/>
        <w:bottom w:w="0" w:type="dxa"/>
        <w:right w:w="0" w:type="dxa"/>
      </w:tblCellMar>
    </w:tblPr>
  </w:style>
  <w:style w:type="paragraph" w:customStyle="1" w:styleId="14">
    <w:name w:val="列出段落1"/>
    <w:basedOn w:val="1"/>
    <w:unhideWhenUsed/>
    <w:qFormat/>
    <w:uiPriority w:val="34"/>
    <w:pPr>
      <w:ind w:firstLine="420" w:firstLineChars="200"/>
    </w:pPr>
  </w:style>
</w:styles>
</file>

<file path=word/_rels/document.xml.rels><?xml version="1.0" encoding="UTF-8" standalone="yes"?>
<Relationships xmlns="http://schemas.openxmlformats.org/package/2006/relationships"><Relationship Id="rId9" Type="http://schemas.microsoft.com/office/2007/relationships/diagramDrawing" Target="diagrams/drawing1.xml"/><Relationship Id="rId8" Type="http://schemas.openxmlformats.org/officeDocument/2006/relationships/diagramColors" Target="diagrams/colors1.xml"/><Relationship Id="rId7" Type="http://schemas.openxmlformats.org/officeDocument/2006/relationships/diagramQuickStyle" Target="diagrams/quickStyle1.xml"/><Relationship Id="rId6" Type="http://schemas.openxmlformats.org/officeDocument/2006/relationships/diagramLayout" Target="diagrams/layout1.xml"/><Relationship Id="rId5" Type="http://schemas.openxmlformats.org/officeDocument/2006/relationships/diagramData" Target="diagrams/data1.xml"/><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diagrams/colors1.xml><?xml version="1.0" encoding="utf-8"?>
<dgm:colorsDef xmlns:dgm="http://schemas.openxmlformats.org/drawingml/2006/diagram" xmlns:a="http://schemas.openxmlformats.org/drawingml/2006/main" uniqueId="urn:microsoft.com/office/officeart/2005/8/colors/accent1_2#1">
  <dgm:title val=""/>
  <dgm:desc val=""/>
  <dgm:catLst>
    <dgm:cat type="accent1" pri="11200"/>
  </dgm:catLst>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node0">
    <dgm:fillClrLst meth="repeat">
      <a:schemeClr val="accent1"/>
    </dgm:fillClrLst>
    <dgm:linClrLst meth="repeat">
      <a:schemeClr val="l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colorsDef>
</file>

<file path=word/diagrams/data1.xml><?xml version="1.0" encoding="utf-8"?>
<dgm:dataModel xmlns:dgm="http://schemas.openxmlformats.org/drawingml/2006/diagram" xmlns:a="http://schemas.openxmlformats.org/drawingml/2006/main">
  <dgm:ptLst>
    <dgm:pt modelId="{50433DFB-F892-4F03-A1CF-D1AE45411C0C}" type="doc">
      <dgm:prSet loTypeId="urn:microsoft.com/office/officeart/2005/8/layout/process1" loCatId="process" qsTypeId="urn:microsoft.com/office/officeart/2005/8/quickstyle/simple5#1" qsCatId="simple" csTypeId="urn:microsoft.com/office/officeart/2005/8/colors/accent1_2#1" csCatId="accent1" phldr="1"/>
      <dgm:spPr/>
    </dgm:pt>
    <dgm:pt modelId="{BD6FC900-E983-4683-B8B2-97BDC4B119FB}">
      <dgm:prSet phldrT="[文本]" custT="1"/>
      <dgm:spPr>
        <a:xfrm>
          <a:off x="2667" y="403951"/>
          <a:ext cx="826850" cy="496110"/>
        </a:xfrm>
        <a:gradFill rotWithShape="0">
          <a:gsLst>
            <a:gs pos="0">
              <a:srgbClr val="4F81BD">
                <a:hueOff val="0"/>
                <a:satOff val="0"/>
                <a:lumOff val="0"/>
                <a:alphaOff val="0"/>
                <a:shade val="51000"/>
                <a:satMod val="130000"/>
              </a:srgbClr>
            </a:gs>
            <a:gs pos="80000">
              <a:srgbClr val="4F81BD">
                <a:hueOff val="0"/>
                <a:satOff val="0"/>
                <a:lumOff val="0"/>
                <a:alphaOff val="0"/>
                <a:shade val="93000"/>
                <a:satMod val="130000"/>
              </a:srgbClr>
            </a:gs>
            <a:gs pos="100000">
              <a:srgbClr val="4F81BD">
                <a:hueOff val="0"/>
                <a:satOff val="0"/>
                <a:lumOff val="0"/>
                <a:alphaOff val="0"/>
                <a:shade val="94000"/>
                <a:satMod val="135000"/>
              </a:srgbClr>
            </a:gs>
          </a:gsLst>
          <a:lin ang="16200000" scaled="0"/>
        </a:gradFill>
        <a:ln>
          <a:noFill/>
        </a:ln>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dgm:spPr>
      <dgm:t>
        <a:bodyPr/>
        <a:p>
          <a:r>
            <a:rPr lang="zh-CN" altLang="en-US" sz="1100">
              <a:solidFill>
                <a:schemeClr val="tx1"/>
              </a:solidFill>
              <a:latin typeface="Calibri" panose="020F0502020204030204"/>
              <a:ea typeface="宋体" panose="02010600030101010101" charset="-122"/>
              <a:cs typeface="+mn-cs"/>
            </a:rPr>
            <a:t>接收任务</a:t>
          </a:r>
        </a:p>
      </dgm:t>
    </dgm:pt>
    <dgm:pt modelId="{66C32B03-6C16-4AAE-8F6C-B3618A238A34}" cxnId="{29314092-F7FD-41C0-B56D-071FB1D55DCE}" type="parTrans">
      <dgm:prSet/>
      <dgm:spPr/>
      <dgm:t>
        <a:bodyPr/>
        <a:p>
          <a:endParaRPr lang="zh-CN" altLang="en-US"/>
        </a:p>
      </dgm:t>
    </dgm:pt>
    <dgm:pt modelId="{7BA23102-3A6A-43B1-B2D8-BB009C3396A8}" cxnId="{29314092-F7FD-41C0-B56D-071FB1D55DCE}" type="sibTrans">
      <dgm:prSet/>
      <dgm:spPr>
        <a:xfrm>
          <a:off x="912202" y="549477"/>
          <a:ext cx="175292" cy="205058"/>
        </a:xfrm>
        <a:gradFill rotWithShape="0">
          <a:gsLst>
            <a:gs pos="0">
              <a:srgbClr val="4F81BD">
                <a:tint val="60000"/>
                <a:hueOff val="0"/>
                <a:satOff val="0"/>
                <a:lumOff val="0"/>
                <a:alphaOff val="0"/>
                <a:shade val="51000"/>
                <a:satMod val="130000"/>
              </a:srgbClr>
            </a:gs>
            <a:gs pos="80000">
              <a:srgbClr val="4F81BD">
                <a:tint val="60000"/>
                <a:hueOff val="0"/>
                <a:satOff val="0"/>
                <a:lumOff val="0"/>
                <a:alphaOff val="0"/>
                <a:shade val="93000"/>
                <a:satMod val="130000"/>
              </a:srgbClr>
            </a:gs>
            <a:gs pos="100000">
              <a:srgbClr val="4F81BD">
                <a:tint val="60000"/>
                <a:hueOff val="0"/>
                <a:satOff val="0"/>
                <a:lumOff val="0"/>
                <a:alphaOff val="0"/>
                <a:shade val="94000"/>
                <a:satMod val="135000"/>
              </a:srgbClr>
            </a:gs>
          </a:gsLst>
          <a:lin ang="16200000" scaled="0"/>
        </a:gradFill>
        <a:ln>
          <a:noFill/>
        </a:ln>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dgm:spPr>
      <dgm:t>
        <a:bodyPr/>
        <a:p>
          <a:endParaRPr lang="zh-CN" altLang="en-US">
            <a:solidFill>
              <a:sysClr val="window" lastClr="FFFFFF"/>
            </a:solidFill>
            <a:latin typeface="Calibri" panose="020F0502020204030204"/>
            <a:ea typeface="宋体" panose="02010600030101010101" charset="-122"/>
            <a:cs typeface="+mn-cs"/>
          </a:endParaRPr>
        </a:p>
      </dgm:t>
    </dgm:pt>
    <dgm:pt modelId="{4D12A015-EB41-4C53-A094-1C0719523400}">
      <dgm:prSet phldrT="[文本]" custT="1"/>
      <dgm:spPr>
        <a:xfrm>
          <a:off x="1160257" y="403951"/>
          <a:ext cx="826850" cy="496110"/>
        </a:xfrm>
        <a:gradFill rotWithShape="0">
          <a:gsLst>
            <a:gs pos="0">
              <a:srgbClr val="4F81BD">
                <a:hueOff val="0"/>
                <a:satOff val="0"/>
                <a:lumOff val="0"/>
                <a:alphaOff val="0"/>
                <a:shade val="51000"/>
                <a:satMod val="130000"/>
              </a:srgbClr>
            </a:gs>
            <a:gs pos="80000">
              <a:srgbClr val="4F81BD">
                <a:hueOff val="0"/>
                <a:satOff val="0"/>
                <a:lumOff val="0"/>
                <a:alphaOff val="0"/>
                <a:shade val="93000"/>
                <a:satMod val="130000"/>
              </a:srgbClr>
            </a:gs>
            <a:gs pos="100000">
              <a:srgbClr val="4F81BD">
                <a:hueOff val="0"/>
                <a:satOff val="0"/>
                <a:lumOff val="0"/>
                <a:alphaOff val="0"/>
                <a:shade val="94000"/>
                <a:satMod val="135000"/>
              </a:srgbClr>
            </a:gs>
          </a:gsLst>
          <a:lin ang="16200000" scaled="0"/>
        </a:gradFill>
        <a:ln>
          <a:noFill/>
        </a:ln>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dgm:spPr>
      <dgm:t>
        <a:bodyPr/>
        <a:p>
          <a:r>
            <a:rPr lang="zh-CN" altLang="en-US" sz="1100">
              <a:solidFill>
                <a:schemeClr val="tx1"/>
              </a:solidFill>
              <a:latin typeface="Calibri" panose="020F0502020204030204"/>
              <a:ea typeface="宋体" panose="02010600030101010101" charset="-122"/>
              <a:cs typeface="+mn-cs"/>
            </a:rPr>
            <a:t>分析任务</a:t>
          </a:r>
        </a:p>
      </dgm:t>
    </dgm:pt>
    <dgm:pt modelId="{C3DD8AA2-4858-4EFF-B6CF-B2EC6728988A}" cxnId="{46C454D6-D187-4FDA-ADC4-A8CA20B446D4}" type="parTrans">
      <dgm:prSet/>
      <dgm:spPr/>
      <dgm:t>
        <a:bodyPr/>
        <a:p>
          <a:endParaRPr lang="zh-CN" altLang="en-US"/>
        </a:p>
      </dgm:t>
    </dgm:pt>
    <dgm:pt modelId="{DBF92573-4750-44C7-BF25-7BC6ECD4B08D}" cxnId="{46C454D6-D187-4FDA-ADC4-A8CA20B446D4}" type="sibTrans">
      <dgm:prSet/>
      <dgm:spPr>
        <a:xfrm>
          <a:off x="2069792" y="549477"/>
          <a:ext cx="175292" cy="205058"/>
        </a:xfrm>
        <a:gradFill rotWithShape="0">
          <a:gsLst>
            <a:gs pos="0">
              <a:srgbClr val="4F81BD">
                <a:tint val="60000"/>
                <a:hueOff val="0"/>
                <a:satOff val="0"/>
                <a:lumOff val="0"/>
                <a:alphaOff val="0"/>
                <a:shade val="51000"/>
                <a:satMod val="130000"/>
              </a:srgbClr>
            </a:gs>
            <a:gs pos="80000">
              <a:srgbClr val="4F81BD">
                <a:tint val="60000"/>
                <a:hueOff val="0"/>
                <a:satOff val="0"/>
                <a:lumOff val="0"/>
                <a:alphaOff val="0"/>
                <a:shade val="93000"/>
                <a:satMod val="130000"/>
              </a:srgbClr>
            </a:gs>
            <a:gs pos="100000">
              <a:srgbClr val="4F81BD">
                <a:tint val="60000"/>
                <a:hueOff val="0"/>
                <a:satOff val="0"/>
                <a:lumOff val="0"/>
                <a:alphaOff val="0"/>
                <a:shade val="94000"/>
                <a:satMod val="135000"/>
              </a:srgbClr>
            </a:gs>
          </a:gsLst>
          <a:lin ang="16200000" scaled="0"/>
        </a:gradFill>
        <a:ln>
          <a:noFill/>
        </a:ln>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dgm:spPr>
      <dgm:t>
        <a:bodyPr/>
        <a:p>
          <a:endParaRPr lang="zh-CN" altLang="en-US">
            <a:solidFill>
              <a:sysClr val="window" lastClr="FFFFFF"/>
            </a:solidFill>
            <a:latin typeface="Calibri" panose="020F0502020204030204"/>
            <a:ea typeface="宋体" panose="02010600030101010101" charset="-122"/>
            <a:cs typeface="+mn-cs"/>
          </a:endParaRPr>
        </a:p>
      </dgm:t>
    </dgm:pt>
    <dgm:pt modelId="{15B141ED-E8F2-4083-9884-B2DD57FFDDBD}">
      <dgm:prSet phldrT="[文本]" custT="1"/>
      <dgm:spPr>
        <a:xfrm>
          <a:off x="2317847" y="403951"/>
          <a:ext cx="826850" cy="496110"/>
        </a:xfrm>
        <a:gradFill rotWithShape="0">
          <a:gsLst>
            <a:gs pos="0">
              <a:srgbClr val="4F81BD">
                <a:hueOff val="0"/>
                <a:satOff val="0"/>
                <a:lumOff val="0"/>
                <a:alphaOff val="0"/>
                <a:shade val="51000"/>
                <a:satMod val="130000"/>
              </a:srgbClr>
            </a:gs>
            <a:gs pos="80000">
              <a:srgbClr val="4F81BD">
                <a:hueOff val="0"/>
                <a:satOff val="0"/>
                <a:lumOff val="0"/>
                <a:alphaOff val="0"/>
                <a:shade val="93000"/>
                <a:satMod val="130000"/>
              </a:srgbClr>
            </a:gs>
            <a:gs pos="100000">
              <a:srgbClr val="4F81BD">
                <a:hueOff val="0"/>
                <a:satOff val="0"/>
                <a:lumOff val="0"/>
                <a:alphaOff val="0"/>
                <a:shade val="94000"/>
                <a:satMod val="135000"/>
              </a:srgbClr>
            </a:gs>
          </a:gsLst>
          <a:lin ang="16200000" scaled="0"/>
        </a:gradFill>
        <a:ln>
          <a:noFill/>
        </a:ln>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dgm:spPr>
      <dgm:t>
        <a:bodyPr/>
        <a:p>
          <a:r>
            <a:rPr lang="zh-CN" altLang="en-US" sz="1100">
              <a:solidFill>
                <a:schemeClr val="tx1"/>
              </a:solidFill>
              <a:latin typeface="Calibri" panose="020F0502020204030204"/>
              <a:ea typeface="宋体" panose="02010600030101010101" charset="-122"/>
              <a:cs typeface="+mn-cs"/>
            </a:rPr>
            <a:t>准备资料</a:t>
          </a:r>
        </a:p>
      </dgm:t>
    </dgm:pt>
    <dgm:pt modelId="{00081A39-FAA3-4A9E-BD03-5CFB67FAC17B}" cxnId="{18CB4475-57B2-4739-8DCC-3BE1241DB7F9}" type="parTrans">
      <dgm:prSet/>
      <dgm:spPr/>
      <dgm:t>
        <a:bodyPr/>
        <a:p>
          <a:endParaRPr lang="zh-CN" altLang="en-US"/>
        </a:p>
      </dgm:t>
    </dgm:pt>
    <dgm:pt modelId="{183EC767-09BD-45D8-AAAB-DF86C0EAE02D}" cxnId="{18CB4475-57B2-4739-8DCC-3BE1241DB7F9}" type="sibTrans">
      <dgm:prSet/>
      <dgm:spPr>
        <a:xfrm>
          <a:off x="3227383" y="549477"/>
          <a:ext cx="175292" cy="205058"/>
        </a:xfrm>
        <a:gradFill rotWithShape="0">
          <a:gsLst>
            <a:gs pos="0">
              <a:srgbClr val="4F81BD">
                <a:tint val="60000"/>
                <a:hueOff val="0"/>
                <a:satOff val="0"/>
                <a:lumOff val="0"/>
                <a:alphaOff val="0"/>
                <a:shade val="51000"/>
                <a:satMod val="130000"/>
              </a:srgbClr>
            </a:gs>
            <a:gs pos="80000">
              <a:srgbClr val="4F81BD">
                <a:tint val="60000"/>
                <a:hueOff val="0"/>
                <a:satOff val="0"/>
                <a:lumOff val="0"/>
                <a:alphaOff val="0"/>
                <a:shade val="93000"/>
                <a:satMod val="130000"/>
              </a:srgbClr>
            </a:gs>
            <a:gs pos="100000">
              <a:srgbClr val="4F81BD">
                <a:tint val="60000"/>
                <a:hueOff val="0"/>
                <a:satOff val="0"/>
                <a:lumOff val="0"/>
                <a:alphaOff val="0"/>
                <a:shade val="94000"/>
                <a:satMod val="135000"/>
              </a:srgbClr>
            </a:gs>
          </a:gsLst>
          <a:lin ang="16200000" scaled="0"/>
        </a:gradFill>
        <a:ln>
          <a:noFill/>
        </a:ln>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dgm:spPr>
      <dgm:t>
        <a:bodyPr/>
        <a:p>
          <a:endParaRPr lang="zh-CN" altLang="en-US">
            <a:solidFill>
              <a:sysClr val="window" lastClr="FFFFFF"/>
            </a:solidFill>
            <a:latin typeface="Calibri" panose="020F0502020204030204"/>
            <a:ea typeface="宋体" panose="02010600030101010101" charset="-122"/>
            <a:cs typeface="+mn-cs"/>
          </a:endParaRPr>
        </a:p>
      </dgm:t>
    </dgm:pt>
    <dgm:pt modelId="{FC2533A6-4C1F-431F-8544-7331E87A8586}">
      <dgm:prSet custT="1"/>
      <dgm:spPr>
        <a:xfrm>
          <a:off x="4633028" y="403951"/>
          <a:ext cx="826850" cy="496110"/>
        </a:xfrm>
        <a:gradFill rotWithShape="0">
          <a:gsLst>
            <a:gs pos="0">
              <a:srgbClr val="4F81BD">
                <a:hueOff val="0"/>
                <a:satOff val="0"/>
                <a:lumOff val="0"/>
                <a:alphaOff val="0"/>
                <a:shade val="51000"/>
                <a:satMod val="130000"/>
              </a:srgbClr>
            </a:gs>
            <a:gs pos="80000">
              <a:srgbClr val="4F81BD">
                <a:hueOff val="0"/>
                <a:satOff val="0"/>
                <a:lumOff val="0"/>
                <a:alphaOff val="0"/>
                <a:shade val="93000"/>
                <a:satMod val="130000"/>
              </a:srgbClr>
            </a:gs>
            <a:gs pos="100000">
              <a:srgbClr val="4F81BD">
                <a:hueOff val="0"/>
                <a:satOff val="0"/>
                <a:lumOff val="0"/>
                <a:alphaOff val="0"/>
                <a:shade val="94000"/>
                <a:satMod val="135000"/>
              </a:srgbClr>
            </a:gs>
          </a:gsLst>
          <a:lin ang="16200000" scaled="0"/>
        </a:gradFill>
        <a:ln>
          <a:noFill/>
        </a:ln>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dgm:spPr>
      <dgm:t>
        <a:bodyPr/>
        <a:p>
          <a:r>
            <a:rPr lang="zh-CN" altLang="en-US" sz="1100">
              <a:solidFill>
                <a:schemeClr val="tx1"/>
              </a:solidFill>
              <a:latin typeface="Calibri" panose="020F0502020204030204"/>
              <a:ea typeface="宋体" panose="02010600030101010101" charset="-122"/>
              <a:cs typeface="+mn-cs"/>
            </a:rPr>
            <a:t>任务实施</a:t>
          </a:r>
        </a:p>
      </dgm:t>
    </dgm:pt>
    <dgm:pt modelId="{93B2F278-1CAE-453A-AB6A-B7C213EC4E94}" cxnId="{9E6E705C-F81C-429C-93E4-B456390433C6}" type="parTrans">
      <dgm:prSet/>
      <dgm:spPr/>
      <dgm:t>
        <a:bodyPr/>
        <a:p>
          <a:endParaRPr lang="zh-CN" altLang="en-US"/>
        </a:p>
      </dgm:t>
    </dgm:pt>
    <dgm:pt modelId="{3BE163FF-2E27-426F-A1A7-874D97E8A07E}" cxnId="{9E6E705C-F81C-429C-93E4-B456390433C6}" type="sibTrans">
      <dgm:prSet/>
      <dgm:spPr/>
      <dgm:t>
        <a:bodyPr/>
        <a:p>
          <a:endParaRPr lang="zh-CN" altLang="en-US"/>
        </a:p>
      </dgm:t>
    </dgm:pt>
    <dgm:pt modelId="{5D82EF26-1245-499D-B71C-0510C45A379B}">
      <dgm:prSet custT="1"/>
      <dgm:spPr/>
      <dgm:t>
        <a:bodyPr/>
        <a:p>
          <a:r>
            <a:rPr lang="zh-CN" altLang="en-US" sz="1100">
              <a:solidFill>
                <a:schemeClr val="tx1"/>
              </a:solidFill>
            </a:rPr>
            <a:t>完稿归档</a:t>
          </a:r>
        </a:p>
      </dgm:t>
    </dgm:pt>
    <dgm:pt modelId="{25DB39A7-E68C-4E2B-B165-299AA971C50C}" cxnId="{2CA943F2-634B-4E58-A8FD-36D967FDE090}" type="parTrans">
      <dgm:prSet/>
      <dgm:spPr/>
      <dgm:t>
        <a:bodyPr/>
        <a:p>
          <a:endParaRPr lang="zh-CN" altLang="en-US"/>
        </a:p>
      </dgm:t>
    </dgm:pt>
    <dgm:pt modelId="{ADB84E07-767D-4A41-A060-2B25EC4AE681}" cxnId="{2CA943F2-634B-4E58-A8FD-36D967FDE090}" type="sibTrans">
      <dgm:prSet/>
      <dgm:spPr/>
      <dgm:t>
        <a:bodyPr/>
        <a:p>
          <a:endParaRPr lang="zh-CN" altLang="en-US"/>
        </a:p>
      </dgm:t>
    </dgm:pt>
    <dgm:pt modelId="{F38CD69D-75AD-4BDB-B93E-536D4CD55FD0}">
      <dgm:prSet custT="1"/>
      <dgm:spPr>
        <a:xfrm>
          <a:off x="4633028" y="403951"/>
          <a:ext cx="826850" cy="496110"/>
        </a:xfrm>
        <a:gradFill rotWithShape="0">
          <a:gsLst>
            <a:gs pos="0">
              <a:srgbClr val="4F81BD">
                <a:hueOff val="0"/>
                <a:satOff val="0"/>
                <a:lumOff val="0"/>
                <a:alphaOff val="0"/>
                <a:shade val="51000"/>
                <a:satMod val="130000"/>
              </a:srgbClr>
            </a:gs>
            <a:gs pos="80000">
              <a:srgbClr val="4F81BD">
                <a:hueOff val="0"/>
                <a:satOff val="0"/>
                <a:lumOff val="0"/>
                <a:alphaOff val="0"/>
                <a:shade val="93000"/>
                <a:satMod val="130000"/>
              </a:srgbClr>
            </a:gs>
            <a:gs pos="100000">
              <a:srgbClr val="4F81BD">
                <a:hueOff val="0"/>
                <a:satOff val="0"/>
                <a:lumOff val="0"/>
                <a:alphaOff val="0"/>
                <a:shade val="94000"/>
                <a:satMod val="135000"/>
              </a:srgbClr>
            </a:gs>
          </a:gsLst>
          <a:lin ang="16200000" scaled="0"/>
        </a:gradFill>
        <a:ln>
          <a:noFill/>
        </a:ln>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dgm:spPr>
      <dgm:t>
        <a:bodyPr/>
        <a:p>
          <a:r>
            <a:rPr lang="zh-CN" altLang="en-US" sz="1100">
              <a:solidFill>
                <a:schemeClr val="tx1"/>
              </a:solidFill>
            </a:rPr>
            <a:t>总结反馈</a:t>
          </a:r>
          <a:endParaRPr lang="zh-CN" altLang="en-US" sz="1100">
            <a:solidFill>
              <a:schemeClr val="tx1"/>
            </a:solidFill>
            <a:latin typeface="Calibri" panose="020F0502020204030204"/>
            <a:ea typeface="宋体" panose="02010600030101010101" charset="-122"/>
            <a:cs typeface="+mn-cs"/>
          </a:endParaRPr>
        </a:p>
      </dgm:t>
    </dgm:pt>
    <dgm:pt modelId="{34AF8480-C245-4A64-AE9F-EEBBE08DE8FE}" cxnId="{9EF18191-5BF1-4538-A089-53072A7928E8}" type="parTrans">
      <dgm:prSet/>
      <dgm:spPr/>
      <dgm:t>
        <a:bodyPr/>
        <a:p>
          <a:endParaRPr lang="zh-CN" altLang="en-US"/>
        </a:p>
      </dgm:t>
    </dgm:pt>
    <dgm:pt modelId="{D486DEF5-C2AB-4965-A229-03249827E3D2}" cxnId="{9EF18191-5BF1-4538-A089-53072A7928E8}" type="sibTrans">
      <dgm:prSet/>
      <dgm:spPr/>
      <dgm:t>
        <a:bodyPr/>
        <a:p>
          <a:endParaRPr lang="zh-CN" altLang="en-US"/>
        </a:p>
      </dgm:t>
    </dgm:pt>
    <dgm:pt modelId="{93C0EFFF-59F6-4F79-BA95-1DD352CE78DB}" type="pres">
      <dgm:prSet presAssocID="{50433DFB-F892-4F03-A1CF-D1AE45411C0C}" presName="Name0" presStyleCnt="0">
        <dgm:presLayoutVars>
          <dgm:dir/>
          <dgm:resizeHandles val="exact"/>
        </dgm:presLayoutVars>
      </dgm:prSet>
      <dgm:spPr/>
    </dgm:pt>
    <dgm:pt modelId="{8CB0ABE6-DFDD-4931-8B87-E410F95C8DDB}" type="pres">
      <dgm:prSet presAssocID="{BD6FC900-E983-4683-B8B2-97BDC4B119FB}" presName="node" presStyleLbl="node1" presStyleIdx="0" presStyleCnt="6">
        <dgm:presLayoutVars>
          <dgm:bulletEnabled val="1"/>
        </dgm:presLayoutVars>
      </dgm:prSet>
      <dgm:spPr>
        <a:prstGeom prst="roundRect">
          <a:avLst>
            <a:gd name="adj" fmla="val 10000"/>
          </a:avLst>
        </a:prstGeom>
      </dgm:spPr>
    </dgm:pt>
    <dgm:pt modelId="{23802BC9-7CD5-4405-898E-C0FA4C143CD1}" type="pres">
      <dgm:prSet presAssocID="{7BA23102-3A6A-43B1-B2D8-BB009C3396A8}" presName="sibTrans" presStyleLbl="sibTrans2D1" presStyleIdx="0" presStyleCnt="5"/>
      <dgm:spPr>
        <a:prstGeom prst="rightArrow">
          <a:avLst>
            <a:gd name="adj1" fmla="val 60000"/>
            <a:gd name="adj2" fmla="val 50000"/>
          </a:avLst>
        </a:prstGeom>
      </dgm:spPr>
    </dgm:pt>
    <dgm:pt modelId="{D05A69CD-0C7B-4336-8BB7-58458B670998}" type="pres">
      <dgm:prSet presAssocID="{7BA23102-3A6A-43B1-B2D8-BB009C3396A8}" presName="connectorText" presStyleLbl="sibTrans2D1" presStyleIdx="0" presStyleCnt="5"/>
      <dgm:spPr/>
    </dgm:pt>
    <dgm:pt modelId="{DDEF4379-AA7C-4145-8A17-AC7914D2F600}" type="pres">
      <dgm:prSet presAssocID="{4D12A015-EB41-4C53-A094-1C0719523400}" presName="node" presStyleLbl="node1" presStyleIdx="1" presStyleCnt="6">
        <dgm:presLayoutVars>
          <dgm:bulletEnabled val="1"/>
        </dgm:presLayoutVars>
      </dgm:prSet>
      <dgm:spPr>
        <a:prstGeom prst="roundRect">
          <a:avLst>
            <a:gd name="adj" fmla="val 10000"/>
          </a:avLst>
        </a:prstGeom>
      </dgm:spPr>
    </dgm:pt>
    <dgm:pt modelId="{49F81E65-B70B-4457-814B-8ADDFB559BF0}" type="pres">
      <dgm:prSet presAssocID="{DBF92573-4750-44C7-BF25-7BC6ECD4B08D}" presName="sibTrans" presStyleLbl="sibTrans2D1" presStyleIdx="1" presStyleCnt="5"/>
      <dgm:spPr>
        <a:prstGeom prst="rightArrow">
          <a:avLst>
            <a:gd name="adj1" fmla="val 60000"/>
            <a:gd name="adj2" fmla="val 50000"/>
          </a:avLst>
        </a:prstGeom>
      </dgm:spPr>
    </dgm:pt>
    <dgm:pt modelId="{312E11EE-4771-4717-A738-2888A09B1E34}" type="pres">
      <dgm:prSet presAssocID="{DBF92573-4750-44C7-BF25-7BC6ECD4B08D}" presName="connectorText" presStyleLbl="sibTrans2D1" presStyleIdx="1" presStyleCnt="5"/>
      <dgm:spPr/>
    </dgm:pt>
    <dgm:pt modelId="{AD717295-A820-4FDF-A089-D3F4D0FCCCA6}" type="pres">
      <dgm:prSet presAssocID="{15B141ED-E8F2-4083-9884-B2DD57FFDDBD}" presName="node" presStyleLbl="node1" presStyleIdx="2" presStyleCnt="6">
        <dgm:presLayoutVars>
          <dgm:bulletEnabled val="1"/>
        </dgm:presLayoutVars>
      </dgm:prSet>
      <dgm:spPr>
        <a:prstGeom prst="roundRect">
          <a:avLst>
            <a:gd name="adj" fmla="val 10000"/>
          </a:avLst>
        </a:prstGeom>
      </dgm:spPr>
    </dgm:pt>
    <dgm:pt modelId="{61E9F66E-ADDC-4612-B5D3-B09CAD1A33A6}" type="pres">
      <dgm:prSet presAssocID="{183EC767-09BD-45D8-AAAB-DF86C0EAE02D}" presName="sibTrans" presStyleLbl="sibTrans2D1" presStyleIdx="2" presStyleCnt="5"/>
      <dgm:spPr>
        <a:prstGeom prst="rightArrow">
          <a:avLst>
            <a:gd name="adj1" fmla="val 60000"/>
            <a:gd name="adj2" fmla="val 50000"/>
          </a:avLst>
        </a:prstGeom>
      </dgm:spPr>
    </dgm:pt>
    <dgm:pt modelId="{1DFF3DC1-10B5-4A94-9D85-D4FE49E0FFED}" type="pres">
      <dgm:prSet presAssocID="{183EC767-09BD-45D8-AAAB-DF86C0EAE02D}" presName="connectorText" presStyleLbl="sibTrans2D1" presStyleIdx="2" presStyleCnt="5"/>
      <dgm:spPr/>
    </dgm:pt>
    <dgm:pt modelId="{4E83E1E9-9DE6-40E2-88A7-073891C0BEDB}" type="pres">
      <dgm:prSet presAssocID="{FC2533A6-4C1F-431F-8544-7331E87A8586}" presName="node" presStyleLbl="node1" presStyleIdx="3" presStyleCnt="6">
        <dgm:presLayoutVars>
          <dgm:bulletEnabled val="1"/>
        </dgm:presLayoutVars>
      </dgm:prSet>
      <dgm:spPr>
        <a:prstGeom prst="roundRect">
          <a:avLst>
            <a:gd name="adj" fmla="val 10000"/>
          </a:avLst>
        </a:prstGeom>
      </dgm:spPr>
    </dgm:pt>
    <dgm:pt modelId="{A7535D6A-6598-40DA-8296-37B551E66802}" type="pres">
      <dgm:prSet presAssocID="{3BE163FF-2E27-426F-A1A7-874D97E8A07E}" presName="sibTrans" presStyleLbl="sibTrans2D1" presStyleIdx="3" presStyleCnt="5" custScaleX="81275" custScaleY="101261"/>
      <dgm:spPr/>
    </dgm:pt>
    <dgm:pt modelId="{15BF942A-057D-4DAE-BE98-CDDE33B4B869}" type="pres">
      <dgm:prSet presAssocID="{3BE163FF-2E27-426F-A1A7-874D97E8A07E}" presName="connectorText" presStyleLbl="sibTrans2D1" presStyleIdx="3" presStyleCnt="5"/>
      <dgm:spPr/>
    </dgm:pt>
    <dgm:pt modelId="{95D4BB7A-BE29-476A-A975-6100FD7AADAE}" type="pres">
      <dgm:prSet presAssocID="{F38CD69D-75AD-4BDB-B93E-536D4CD55FD0}" presName="node" presStyleLbl="node1" presStyleIdx="4" presStyleCnt="6">
        <dgm:presLayoutVars>
          <dgm:bulletEnabled val="1"/>
        </dgm:presLayoutVars>
      </dgm:prSet>
      <dgm:spPr/>
    </dgm:pt>
    <dgm:pt modelId="{8ADDF32C-9EC2-4C2F-85D5-0610C43BA7AB}" type="pres">
      <dgm:prSet presAssocID="{D486DEF5-C2AB-4965-A229-03249827E3D2}" presName="sibTrans" presStyleLbl="sibTrans2D1" presStyleIdx="4" presStyleCnt="5"/>
      <dgm:spPr/>
    </dgm:pt>
    <dgm:pt modelId="{9A5CD7B8-D433-4332-85CA-B28EF758D996}" type="pres">
      <dgm:prSet presAssocID="{D486DEF5-C2AB-4965-A229-03249827E3D2}" presName="connectorText" presStyleLbl="sibTrans2D1" presStyleIdx="4" presStyleCnt="5"/>
      <dgm:spPr/>
    </dgm:pt>
    <dgm:pt modelId="{63F115E9-0678-4A89-8FB1-EF14EB72BB20}" type="pres">
      <dgm:prSet presAssocID="{5D82EF26-1245-499D-B71C-0510C45A379B}" presName="node" presStyleLbl="node1" presStyleIdx="5" presStyleCnt="6">
        <dgm:presLayoutVars>
          <dgm:bulletEnabled val="1"/>
        </dgm:presLayoutVars>
      </dgm:prSet>
      <dgm:spPr/>
    </dgm:pt>
  </dgm:ptLst>
  <dgm:cxnLst>
    <dgm:cxn modelId="{BD1F0D02-FD13-4CE7-9D29-5576DB7F62B5}" type="presOf" srcId="{DBF92573-4750-44C7-BF25-7BC6ECD4B08D}" destId="{49F81E65-B70B-4457-814B-8ADDFB559BF0}" srcOrd="0" destOrd="0" presId="urn:microsoft.com/office/officeart/2005/8/layout/process1"/>
    <dgm:cxn modelId="{5A923F0E-39E7-4718-8816-ED1E4A24FA40}" type="presOf" srcId="{FC2533A6-4C1F-431F-8544-7331E87A8586}" destId="{4E83E1E9-9DE6-40E2-88A7-073891C0BEDB}" srcOrd="0" destOrd="0" presId="urn:microsoft.com/office/officeart/2005/8/layout/process1"/>
    <dgm:cxn modelId="{9D04112A-A9A0-4A6B-A60E-62F626991752}" type="presOf" srcId="{183EC767-09BD-45D8-AAAB-DF86C0EAE02D}" destId="{1DFF3DC1-10B5-4A94-9D85-D4FE49E0FFED}" srcOrd="1" destOrd="0" presId="urn:microsoft.com/office/officeart/2005/8/layout/process1"/>
    <dgm:cxn modelId="{ACC6275B-239B-4512-BBCF-B1AF4758202C}" type="presOf" srcId="{D486DEF5-C2AB-4965-A229-03249827E3D2}" destId="{9A5CD7B8-D433-4332-85CA-B28EF758D996}" srcOrd="1" destOrd="0" presId="urn:microsoft.com/office/officeart/2005/8/layout/process1"/>
    <dgm:cxn modelId="{9E6E705C-F81C-429C-93E4-B456390433C6}" srcId="{50433DFB-F892-4F03-A1CF-D1AE45411C0C}" destId="{FC2533A6-4C1F-431F-8544-7331E87A8586}" srcOrd="3" destOrd="0" parTransId="{93B2F278-1CAE-453A-AB6A-B7C213EC4E94}" sibTransId="{3BE163FF-2E27-426F-A1A7-874D97E8A07E}"/>
    <dgm:cxn modelId="{5B063B6D-AE17-4A5D-B3B5-76DF25D774F3}" type="presOf" srcId="{15B141ED-E8F2-4083-9884-B2DD57FFDDBD}" destId="{AD717295-A820-4FDF-A089-D3F4D0FCCCA6}" srcOrd="0" destOrd="0" presId="urn:microsoft.com/office/officeart/2005/8/layout/process1"/>
    <dgm:cxn modelId="{18CB4475-57B2-4739-8DCC-3BE1241DB7F9}" srcId="{50433DFB-F892-4F03-A1CF-D1AE45411C0C}" destId="{15B141ED-E8F2-4083-9884-B2DD57FFDDBD}" srcOrd="2" destOrd="0" parTransId="{00081A39-FAA3-4A9E-BD03-5CFB67FAC17B}" sibTransId="{183EC767-09BD-45D8-AAAB-DF86C0EAE02D}"/>
    <dgm:cxn modelId="{A8CD4684-17E4-4C3B-8911-F5C784347951}" type="presOf" srcId="{5D82EF26-1245-499D-B71C-0510C45A379B}" destId="{63F115E9-0678-4A89-8FB1-EF14EB72BB20}" srcOrd="0" destOrd="0" presId="urn:microsoft.com/office/officeart/2005/8/layout/process1"/>
    <dgm:cxn modelId="{C3C98A87-0583-4CBD-A622-6C43BA458734}" type="presOf" srcId="{183EC767-09BD-45D8-AAAB-DF86C0EAE02D}" destId="{61E9F66E-ADDC-4612-B5D3-B09CAD1A33A6}" srcOrd="0" destOrd="0" presId="urn:microsoft.com/office/officeart/2005/8/layout/process1"/>
    <dgm:cxn modelId="{9EF18191-5BF1-4538-A089-53072A7928E8}" srcId="{50433DFB-F892-4F03-A1CF-D1AE45411C0C}" destId="{F38CD69D-75AD-4BDB-B93E-536D4CD55FD0}" srcOrd="4" destOrd="0" parTransId="{34AF8480-C245-4A64-AE9F-EEBBE08DE8FE}" sibTransId="{D486DEF5-C2AB-4965-A229-03249827E3D2}"/>
    <dgm:cxn modelId="{29314092-F7FD-41C0-B56D-071FB1D55DCE}" srcId="{50433DFB-F892-4F03-A1CF-D1AE45411C0C}" destId="{BD6FC900-E983-4683-B8B2-97BDC4B119FB}" srcOrd="0" destOrd="0" parTransId="{66C32B03-6C16-4AAE-8F6C-B3618A238A34}" sibTransId="{7BA23102-3A6A-43B1-B2D8-BB009C3396A8}"/>
    <dgm:cxn modelId="{5E8A2E97-17AA-4DD8-BDF4-D2BE8810EFF7}" type="presOf" srcId="{4D12A015-EB41-4C53-A094-1C0719523400}" destId="{DDEF4379-AA7C-4145-8A17-AC7914D2F600}" srcOrd="0" destOrd="0" presId="urn:microsoft.com/office/officeart/2005/8/layout/process1"/>
    <dgm:cxn modelId="{62FFC4B8-F4BE-4F01-8FFA-3E854AB17E4B}" type="presOf" srcId="{F38CD69D-75AD-4BDB-B93E-536D4CD55FD0}" destId="{95D4BB7A-BE29-476A-A975-6100FD7AADAE}" srcOrd="0" destOrd="0" presId="urn:microsoft.com/office/officeart/2005/8/layout/process1"/>
    <dgm:cxn modelId="{20F0D5B8-508E-43F2-AE3F-4A696991F645}" type="presOf" srcId="{DBF92573-4750-44C7-BF25-7BC6ECD4B08D}" destId="{312E11EE-4771-4717-A738-2888A09B1E34}" srcOrd="1" destOrd="0" presId="urn:microsoft.com/office/officeart/2005/8/layout/process1"/>
    <dgm:cxn modelId="{6F3B27C3-AA87-489C-845C-DEF83EF48CAE}" type="presOf" srcId="{3BE163FF-2E27-426F-A1A7-874D97E8A07E}" destId="{15BF942A-057D-4DAE-BE98-CDDE33B4B869}" srcOrd="1" destOrd="0" presId="urn:microsoft.com/office/officeart/2005/8/layout/process1"/>
    <dgm:cxn modelId="{046C21C8-2D3F-4D1F-AF78-599B9AF22DFD}" type="presOf" srcId="{7BA23102-3A6A-43B1-B2D8-BB009C3396A8}" destId="{23802BC9-7CD5-4405-898E-C0FA4C143CD1}" srcOrd="0" destOrd="0" presId="urn:microsoft.com/office/officeart/2005/8/layout/process1"/>
    <dgm:cxn modelId="{46C454D6-D187-4FDA-ADC4-A8CA20B446D4}" srcId="{50433DFB-F892-4F03-A1CF-D1AE45411C0C}" destId="{4D12A015-EB41-4C53-A094-1C0719523400}" srcOrd="1" destOrd="0" parTransId="{C3DD8AA2-4858-4EFF-B6CF-B2EC6728988A}" sibTransId="{DBF92573-4750-44C7-BF25-7BC6ECD4B08D}"/>
    <dgm:cxn modelId="{3784F0E7-27FB-45FE-9DB8-4DABCD2A06A0}" type="presOf" srcId="{3BE163FF-2E27-426F-A1A7-874D97E8A07E}" destId="{A7535D6A-6598-40DA-8296-37B551E66802}" srcOrd="0" destOrd="0" presId="urn:microsoft.com/office/officeart/2005/8/layout/process1"/>
    <dgm:cxn modelId="{4A34A3EE-1AF8-4CE1-B5AF-231A632C8CDB}" type="presOf" srcId="{7BA23102-3A6A-43B1-B2D8-BB009C3396A8}" destId="{D05A69CD-0C7B-4336-8BB7-58458B670998}" srcOrd="1" destOrd="0" presId="urn:microsoft.com/office/officeart/2005/8/layout/process1"/>
    <dgm:cxn modelId="{2CA943F2-634B-4E58-A8FD-36D967FDE090}" srcId="{50433DFB-F892-4F03-A1CF-D1AE45411C0C}" destId="{5D82EF26-1245-499D-B71C-0510C45A379B}" srcOrd="5" destOrd="0" parTransId="{25DB39A7-E68C-4E2B-B165-299AA971C50C}" sibTransId="{ADB84E07-767D-4A41-A060-2B25EC4AE681}"/>
    <dgm:cxn modelId="{BEDDF9F5-7771-4F64-A08C-D48D55BEA831}" type="presOf" srcId="{50433DFB-F892-4F03-A1CF-D1AE45411C0C}" destId="{93C0EFFF-59F6-4F79-BA95-1DD352CE78DB}" srcOrd="0" destOrd="0" presId="urn:microsoft.com/office/officeart/2005/8/layout/process1"/>
    <dgm:cxn modelId="{5439CCF9-D2EE-410A-AAC5-D54BEE2A1207}" type="presOf" srcId="{BD6FC900-E983-4683-B8B2-97BDC4B119FB}" destId="{8CB0ABE6-DFDD-4931-8B87-E410F95C8DDB}" srcOrd="0" destOrd="0" presId="urn:microsoft.com/office/officeart/2005/8/layout/process1"/>
    <dgm:cxn modelId="{81C9E6FE-993F-43E9-BCF9-EF5CAF7D4B93}" type="presOf" srcId="{D486DEF5-C2AB-4965-A229-03249827E3D2}" destId="{8ADDF32C-9EC2-4C2F-85D5-0610C43BA7AB}" srcOrd="0" destOrd="0" presId="urn:microsoft.com/office/officeart/2005/8/layout/process1"/>
    <dgm:cxn modelId="{EDD87761-D7BA-4968-9D10-E5BB58771D5C}" type="presParOf" srcId="{93C0EFFF-59F6-4F79-BA95-1DD352CE78DB}" destId="{8CB0ABE6-DFDD-4931-8B87-E410F95C8DDB}" srcOrd="0" destOrd="0" presId="urn:microsoft.com/office/officeart/2005/8/layout/process1"/>
    <dgm:cxn modelId="{A424B09D-B13D-428F-A2EC-0164C5929560}" type="presParOf" srcId="{93C0EFFF-59F6-4F79-BA95-1DD352CE78DB}" destId="{23802BC9-7CD5-4405-898E-C0FA4C143CD1}" srcOrd="1" destOrd="0" presId="urn:microsoft.com/office/officeart/2005/8/layout/process1"/>
    <dgm:cxn modelId="{6810F6B5-833D-414B-BC85-3230CAA07BCE}" type="presParOf" srcId="{23802BC9-7CD5-4405-898E-C0FA4C143CD1}" destId="{D05A69CD-0C7B-4336-8BB7-58458B670998}" srcOrd="0" destOrd="0" presId="urn:microsoft.com/office/officeart/2005/8/layout/process1"/>
    <dgm:cxn modelId="{ED647A82-8E52-4BE2-A2FC-B50A01690B1A}" type="presParOf" srcId="{93C0EFFF-59F6-4F79-BA95-1DD352CE78DB}" destId="{DDEF4379-AA7C-4145-8A17-AC7914D2F600}" srcOrd="2" destOrd="0" presId="urn:microsoft.com/office/officeart/2005/8/layout/process1"/>
    <dgm:cxn modelId="{C235C146-1CC5-43FF-AA5A-AB72BB3F38EA}" type="presParOf" srcId="{93C0EFFF-59F6-4F79-BA95-1DD352CE78DB}" destId="{49F81E65-B70B-4457-814B-8ADDFB559BF0}" srcOrd="3" destOrd="0" presId="urn:microsoft.com/office/officeart/2005/8/layout/process1"/>
    <dgm:cxn modelId="{445C81A4-3CEA-4D4E-B962-3B54C80C2BF7}" type="presParOf" srcId="{49F81E65-B70B-4457-814B-8ADDFB559BF0}" destId="{312E11EE-4771-4717-A738-2888A09B1E34}" srcOrd="0" destOrd="0" presId="urn:microsoft.com/office/officeart/2005/8/layout/process1"/>
    <dgm:cxn modelId="{072EF8E9-EF20-4854-892F-583EBEEE9906}" type="presParOf" srcId="{93C0EFFF-59F6-4F79-BA95-1DD352CE78DB}" destId="{AD717295-A820-4FDF-A089-D3F4D0FCCCA6}" srcOrd="4" destOrd="0" presId="urn:microsoft.com/office/officeart/2005/8/layout/process1"/>
    <dgm:cxn modelId="{E5C7FDCA-F44F-4257-9C5E-40CB5A26D562}" type="presParOf" srcId="{93C0EFFF-59F6-4F79-BA95-1DD352CE78DB}" destId="{61E9F66E-ADDC-4612-B5D3-B09CAD1A33A6}" srcOrd="5" destOrd="0" presId="urn:microsoft.com/office/officeart/2005/8/layout/process1"/>
    <dgm:cxn modelId="{F2F59726-E333-4D9E-BA55-8BC6B3C530E4}" type="presParOf" srcId="{61E9F66E-ADDC-4612-B5D3-B09CAD1A33A6}" destId="{1DFF3DC1-10B5-4A94-9D85-D4FE49E0FFED}" srcOrd="0" destOrd="0" presId="urn:microsoft.com/office/officeart/2005/8/layout/process1"/>
    <dgm:cxn modelId="{30927EB9-8793-4733-AF3E-50A167DD1F71}" type="presParOf" srcId="{93C0EFFF-59F6-4F79-BA95-1DD352CE78DB}" destId="{4E83E1E9-9DE6-40E2-88A7-073891C0BEDB}" srcOrd="6" destOrd="0" presId="urn:microsoft.com/office/officeart/2005/8/layout/process1"/>
    <dgm:cxn modelId="{D61B0175-9E9E-4E80-8AB0-4DA6A2724D42}" type="presParOf" srcId="{93C0EFFF-59F6-4F79-BA95-1DD352CE78DB}" destId="{A7535D6A-6598-40DA-8296-37B551E66802}" srcOrd="7" destOrd="0" presId="urn:microsoft.com/office/officeart/2005/8/layout/process1"/>
    <dgm:cxn modelId="{040DC821-85AB-4912-B60B-31952111345B}" type="presParOf" srcId="{A7535D6A-6598-40DA-8296-37B551E66802}" destId="{15BF942A-057D-4DAE-BE98-CDDE33B4B869}" srcOrd="0" destOrd="0" presId="urn:microsoft.com/office/officeart/2005/8/layout/process1"/>
    <dgm:cxn modelId="{E851DCFA-9681-47AB-877C-CF3BA393BBBB}" type="presParOf" srcId="{93C0EFFF-59F6-4F79-BA95-1DD352CE78DB}" destId="{95D4BB7A-BE29-476A-A975-6100FD7AADAE}" srcOrd="8" destOrd="0" presId="urn:microsoft.com/office/officeart/2005/8/layout/process1"/>
    <dgm:cxn modelId="{2957DBEE-DE26-44CF-A12A-72C8F5CCB145}" type="presParOf" srcId="{93C0EFFF-59F6-4F79-BA95-1DD352CE78DB}" destId="{8ADDF32C-9EC2-4C2F-85D5-0610C43BA7AB}" srcOrd="9" destOrd="0" presId="urn:microsoft.com/office/officeart/2005/8/layout/process1"/>
    <dgm:cxn modelId="{B682D05E-B8DF-491E-9ECC-EDA69C8518E8}" type="presParOf" srcId="{8ADDF32C-9EC2-4C2F-85D5-0610C43BA7AB}" destId="{9A5CD7B8-D433-4332-85CA-B28EF758D996}" srcOrd="0" destOrd="0" presId="urn:microsoft.com/office/officeart/2005/8/layout/process1"/>
    <dgm:cxn modelId="{64F54FB7-6A20-475F-BBBC-D281DAAF5383}" type="presParOf" srcId="{93C0EFFF-59F6-4F79-BA95-1DD352CE78DB}" destId="{63F115E9-0678-4A89-8FB1-EF14EB72BB20}" srcOrd="10" destOrd="0" presId="urn:microsoft.com/office/officeart/2005/8/layout/process1"/>
  </dgm:cxnLst>
  <dgm:bg/>
  <dgm:whole/>
  <dgm:extLst>
    <a:ext uri="http://schemas.microsoft.com/office/drawing/2008/diagram">
      <dsp:dataModelExt xmlns:dsp="http://schemas.microsoft.com/office/drawing/2008/diagram" relId="rId9"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xmlns:r="http://schemas.openxmlformats.org/officeDocument/2006/relationships">
  <dsp:spTree>
    <dsp:nvGrpSpPr>
      <dsp:cNvPr id="2" name="组合 1"/>
      <dsp:cNvGrpSpPr/>
    </dsp:nvGrpSpPr>
    <dsp:grpSpPr>
      <a:xfrm>
        <a:off x="0" y="0"/>
        <a:ext cx="5035550" cy="673100"/>
        <a:chOff x="0" y="0"/>
        <a:chExt cx="5035550" cy="673100"/>
      </a:xfrm>
    </dsp:grpSpPr>
    <dsp:sp modelId="{8CB0ABE6-DFDD-4931-8B87-E410F95C8DDB}">
      <dsp:nvSpPr>
        <dsp:cNvPr id="3" name="圆角矩形 2"/>
        <dsp:cNvSpPr/>
      </dsp:nvSpPr>
      <dsp:spPr bwMode="white">
        <a:xfrm>
          <a:off x="0" y="147717"/>
          <a:ext cx="629444" cy="377666"/>
        </a:xfrm>
        <a:prstGeom prst="roundRect">
          <a:avLst>
            <a:gd name="adj" fmla="val 10000"/>
          </a:avLst>
        </a:prstGeom>
        <a:gradFill rotWithShape="0">
          <a:gsLst>
            <a:gs pos="0">
              <a:srgbClr val="4F81BD">
                <a:hueOff val="0"/>
                <a:satOff val="0"/>
                <a:lumOff val="0"/>
                <a:alphaOff val="0"/>
                <a:shade val="51000"/>
                <a:satMod val="130000"/>
              </a:srgbClr>
            </a:gs>
            <a:gs pos="80000">
              <a:srgbClr val="4F81BD">
                <a:hueOff val="0"/>
                <a:satOff val="0"/>
                <a:lumOff val="0"/>
                <a:alphaOff val="0"/>
                <a:shade val="93000"/>
                <a:satMod val="130000"/>
              </a:srgbClr>
            </a:gs>
            <a:gs pos="100000">
              <a:srgbClr val="4F81BD">
                <a:hueOff val="0"/>
                <a:satOff val="0"/>
                <a:lumOff val="0"/>
                <a:alphaOff val="0"/>
                <a:shade val="94000"/>
                <a:satMod val="135000"/>
              </a:srgbClr>
            </a:gs>
          </a:gsLst>
          <a:lin ang="16200000" scaled="0"/>
        </a:gradFill>
        <a:ln>
          <a:noFill/>
        </a:ln>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dsp:spPr>
      <dsp:style>
        <a:lnRef idx="0">
          <a:schemeClr val="lt1"/>
        </a:lnRef>
        <a:fillRef idx="3">
          <a:schemeClr val="accent1"/>
        </a:fillRef>
        <a:effectRef idx="3">
          <a:scrgbClr r="0" g="0" b="0"/>
        </a:effectRef>
        <a:fontRef idx="minor">
          <a:schemeClr val="lt1"/>
        </a:fontRef>
      </dsp:style>
      <dsp:txBody>
        <a:bodyPr lIns="41910" tIns="41910" rIns="41910" bIns="41910" anchor="ctr"/>
        <a:lstStyle>
          <a:lvl1pPr algn="ctr">
            <a:defRPr sz="6500"/>
          </a:lvl1pPr>
          <a:lvl2pPr marL="285750" indent="-285750" algn="ctr">
            <a:defRPr sz="5000"/>
          </a:lvl2pPr>
          <a:lvl3pPr marL="571500" indent="-285750" algn="ctr">
            <a:defRPr sz="5000"/>
          </a:lvl3pPr>
          <a:lvl4pPr marL="857250" indent="-285750" algn="ctr">
            <a:defRPr sz="5000"/>
          </a:lvl4pPr>
          <a:lvl5pPr marL="1143000" indent="-285750" algn="ctr">
            <a:defRPr sz="5000"/>
          </a:lvl5pPr>
          <a:lvl6pPr marL="1428750" indent="-285750" algn="ctr">
            <a:defRPr sz="5000"/>
          </a:lvl6pPr>
          <a:lvl7pPr marL="1714500" indent="-285750" algn="ctr">
            <a:defRPr sz="5000"/>
          </a:lvl7pPr>
          <a:lvl8pPr marL="2000250" indent="-285750" algn="ctr">
            <a:defRPr sz="5000"/>
          </a:lvl8pPr>
          <a:lvl9pPr marL="2286000" indent="-285750" algn="ctr">
            <a:defRPr sz="5000"/>
          </a:lvl9pPr>
        </a:lstStyle>
        <a:p>
          <a:pPr lvl="0">
            <a:lnSpc>
              <a:spcPct val="100000"/>
            </a:lnSpc>
            <a:spcBef>
              <a:spcPct val="0"/>
            </a:spcBef>
            <a:spcAft>
              <a:spcPct val="35000"/>
            </a:spcAft>
          </a:pPr>
          <a:r>
            <a:rPr lang="zh-CN" altLang="en-US" sz="1100">
              <a:solidFill>
                <a:schemeClr val="tx1"/>
              </a:solidFill>
              <a:latin typeface="Calibri" panose="020F0502020204030204"/>
              <a:ea typeface="宋体" panose="02010600030101010101" charset="-122"/>
              <a:cs typeface="+mn-cs"/>
            </a:rPr>
            <a:t>接收任务</a:t>
          </a:r>
        </a:p>
      </dsp:txBody>
      <dsp:txXfrm>
        <a:off x="0" y="147717"/>
        <a:ext cx="629444" cy="377666"/>
      </dsp:txXfrm>
    </dsp:sp>
    <dsp:sp modelId="{23802BC9-7CD5-4405-898E-C0FA4C143CD1}">
      <dsp:nvSpPr>
        <dsp:cNvPr id="4" name="右箭头 3"/>
        <dsp:cNvSpPr/>
      </dsp:nvSpPr>
      <dsp:spPr bwMode="white">
        <a:xfrm>
          <a:off x="688611" y="258499"/>
          <a:ext cx="133442" cy="156102"/>
        </a:xfrm>
        <a:prstGeom prst="rightArrow">
          <a:avLst>
            <a:gd name="adj1" fmla="val 60000"/>
            <a:gd name="adj2" fmla="val 50000"/>
          </a:avLst>
        </a:prstGeom>
        <a:gradFill rotWithShape="0">
          <a:gsLst>
            <a:gs pos="0">
              <a:srgbClr val="4F81BD">
                <a:tint val="60000"/>
                <a:hueOff val="0"/>
                <a:satOff val="0"/>
                <a:lumOff val="0"/>
                <a:alphaOff val="0"/>
                <a:shade val="51000"/>
                <a:satMod val="130000"/>
              </a:srgbClr>
            </a:gs>
            <a:gs pos="80000">
              <a:srgbClr val="4F81BD">
                <a:tint val="60000"/>
                <a:hueOff val="0"/>
                <a:satOff val="0"/>
                <a:lumOff val="0"/>
                <a:alphaOff val="0"/>
                <a:shade val="93000"/>
                <a:satMod val="130000"/>
              </a:srgbClr>
            </a:gs>
            <a:gs pos="100000">
              <a:srgbClr val="4F81BD">
                <a:tint val="60000"/>
                <a:hueOff val="0"/>
                <a:satOff val="0"/>
                <a:lumOff val="0"/>
                <a:alphaOff val="0"/>
                <a:shade val="94000"/>
                <a:satMod val="135000"/>
              </a:srgbClr>
            </a:gs>
          </a:gsLst>
          <a:lin ang="16200000" scaled="0"/>
        </a:gradFill>
        <a:ln>
          <a:noFill/>
        </a:ln>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dsp:spPr>
      <dsp:style>
        <a:lnRef idx="0">
          <a:schemeClr val="accent1">
            <a:tint val="60000"/>
          </a:schemeClr>
        </a:lnRef>
        <a:fillRef idx="3">
          <a:schemeClr val="accent1">
            <a:tint val="60000"/>
          </a:schemeClr>
        </a:fillRef>
        <a:effectRef idx="3">
          <a:scrgbClr r="0" g="0" b="0"/>
        </a:effectRef>
        <a:fontRef idx="minor">
          <a:schemeClr val="lt1"/>
        </a:fontRef>
      </dsp:style>
      <dsp:txBody>
        <a:bodyPr lIns="0" tIns="0" rIns="0" bIns="0" anchor="ctr"/>
        <a:lstStyle>
          <a:lvl1pPr algn="ctr">
            <a:defRPr sz="600"/>
          </a:lvl1pPr>
          <a:lvl2pPr marL="57150" indent="-57150" algn="ctr">
            <a:defRPr sz="500"/>
          </a:lvl2pPr>
          <a:lvl3pPr marL="114300" indent="-57150" algn="ctr">
            <a:defRPr sz="500"/>
          </a:lvl3pPr>
          <a:lvl4pPr marL="171450" indent="-57150" algn="ctr">
            <a:defRPr sz="500"/>
          </a:lvl4pPr>
          <a:lvl5pPr marL="228600" indent="-57150" algn="ctr">
            <a:defRPr sz="500"/>
          </a:lvl5pPr>
          <a:lvl6pPr marL="285750" indent="-57150" algn="ctr">
            <a:defRPr sz="500"/>
          </a:lvl6pPr>
          <a:lvl7pPr marL="342900" indent="-57150" algn="ctr">
            <a:defRPr sz="500"/>
          </a:lvl7pPr>
          <a:lvl8pPr marL="400050" indent="-57150" algn="ctr">
            <a:defRPr sz="500"/>
          </a:lvl8pPr>
          <a:lvl9pPr marL="457200" indent="-57150" algn="ctr">
            <a:defRPr sz="500"/>
          </a:lvl9pPr>
        </a:lstStyle>
        <a:p>
          <a:pPr lvl="0">
            <a:lnSpc>
              <a:spcPct val="100000"/>
            </a:lnSpc>
            <a:spcBef>
              <a:spcPct val="0"/>
            </a:spcBef>
            <a:spcAft>
              <a:spcPct val="35000"/>
            </a:spcAft>
          </a:pPr>
          <a:endParaRPr lang="zh-CN" altLang="en-US">
            <a:solidFill>
              <a:sysClr val="window" lastClr="FFFFFF"/>
            </a:solidFill>
            <a:latin typeface="Calibri" panose="020F0502020204030204"/>
            <a:ea typeface="宋体" panose="02010600030101010101" charset="-122"/>
            <a:cs typeface="+mn-cs"/>
          </a:endParaRPr>
        </a:p>
      </dsp:txBody>
      <dsp:txXfrm>
        <a:off x="688611" y="258499"/>
        <a:ext cx="133442" cy="156102"/>
      </dsp:txXfrm>
    </dsp:sp>
    <dsp:sp modelId="{DDEF4379-AA7C-4145-8A17-AC7914D2F600}">
      <dsp:nvSpPr>
        <dsp:cNvPr id="5" name="圆角矩形 4"/>
        <dsp:cNvSpPr/>
      </dsp:nvSpPr>
      <dsp:spPr bwMode="white">
        <a:xfrm>
          <a:off x="881221" y="147717"/>
          <a:ext cx="629444" cy="377666"/>
        </a:xfrm>
        <a:prstGeom prst="roundRect">
          <a:avLst>
            <a:gd name="adj" fmla="val 10000"/>
          </a:avLst>
        </a:prstGeom>
        <a:gradFill rotWithShape="0">
          <a:gsLst>
            <a:gs pos="0">
              <a:srgbClr val="4F81BD">
                <a:hueOff val="0"/>
                <a:satOff val="0"/>
                <a:lumOff val="0"/>
                <a:alphaOff val="0"/>
                <a:shade val="51000"/>
                <a:satMod val="130000"/>
              </a:srgbClr>
            </a:gs>
            <a:gs pos="80000">
              <a:srgbClr val="4F81BD">
                <a:hueOff val="0"/>
                <a:satOff val="0"/>
                <a:lumOff val="0"/>
                <a:alphaOff val="0"/>
                <a:shade val="93000"/>
                <a:satMod val="130000"/>
              </a:srgbClr>
            </a:gs>
            <a:gs pos="100000">
              <a:srgbClr val="4F81BD">
                <a:hueOff val="0"/>
                <a:satOff val="0"/>
                <a:lumOff val="0"/>
                <a:alphaOff val="0"/>
                <a:shade val="94000"/>
                <a:satMod val="135000"/>
              </a:srgbClr>
            </a:gs>
          </a:gsLst>
          <a:lin ang="16200000" scaled="0"/>
        </a:gradFill>
        <a:ln>
          <a:noFill/>
        </a:ln>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dsp:spPr>
      <dsp:style>
        <a:lnRef idx="0">
          <a:schemeClr val="lt1"/>
        </a:lnRef>
        <a:fillRef idx="3">
          <a:schemeClr val="accent1"/>
        </a:fillRef>
        <a:effectRef idx="3">
          <a:scrgbClr r="0" g="0" b="0"/>
        </a:effectRef>
        <a:fontRef idx="minor">
          <a:schemeClr val="lt1"/>
        </a:fontRef>
      </dsp:style>
      <dsp:txBody>
        <a:bodyPr lIns="41910" tIns="41910" rIns="41910" bIns="41910" anchor="ctr"/>
        <a:lstStyle>
          <a:lvl1pPr algn="ctr">
            <a:defRPr sz="6500"/>
          </a:lvl1pPr>
          <a:lvl2pPr marL="285750" indent="-285750" algn="ctr">
            <a:defRPr sz="5000"/>
          </a:lvl2pPr>
          <a:lvl3pPr marL="571500" indent="-285750" algn="ctr">
            <a:defRPr sz="5000"/>
          </a:lvl3pPr>
          <a:lvl4pPr marL="857250" indent="-285750" algn="ctr">
            <a:defRPr sz="5000"/>
          </a:lvl4pPr>
          <a:lvl5pPr marL="1143000" indent="-285750" algn="ctr">
            <a:defRPr sz="5000"/>
          </a:lvl5pPr>
          <a:lvl6pPr marL="1428750" indent="-285750" algn="ctr">
            <a:defRPr sz="5000"/>
          </a:lvl6pPr>
          <a:lvl7pPr marL="1714500" indent="-285750" algn="ctr">
            <a:defRPr sz="5000"/>
          </a:lvl7pPr>
          <a:lvl8pPr marL="2000250" indent="-285750" algn="ctr">
            <a:defRPr sz="5000"/>
          </a:lvl8pPr>
          <a:lvl9pPr marL="2286000" indent="-285750" algn="ctr">
            <a:defRPr sz="5000"/>
          </a:lvl9pPr>
        </a:lstStyle>
        <a:p>
          <a:pPr lvl="0">
            <a:lnSpc>
              <a:spcPct val="100000"/>
            </a:lnSpc>
            <a:spcBef>
              <a:spcPct val="0"/>
            </a:spcBef>
            <a:spcAft>
              <a:spcPct val="35000"/>
            </a:spcAft>
          </a:pPr>
          <a:r>
            <a:rPr lang="zh-CN" altLang="en-US" sz="1100">
              <a:solidFill>
                <a:schemeClr val="tx1"/>
              </a:solidFill>
              <a:latin typeface="Calibri" panose="020F0502020204030204"/>
              <a:ea typeface="宋体" panose="02010600030101010101" charset="-122"/>
              <a:cs typeface="+mn-cs"/>
            </a:rPr>
            <a:t>分析任务</a:t>
          </a:r>
        </a:p>
      </dsp:txBody>
      <dsp:txXfrm>
        <a:off x="881221" y="147717"/>
        <a:ext cx="629444" cy="377666"/>
      </dsp:txXfrm>
    </dsp:sp>
    <dsp:sp modelId="{49F81E65-B70B-4457-814B-8ADDFB559BF0}">
      <dsp:nvSpPr>
        <dsp:cNvPr id="6" name="右箭头 5"/>
        <dsp:cNvSpPr/>
      </dsp:nvSpPr>
      <dsp:spPr bwMode="white">
        <a:xfrm>
          <a:off x="1569833" y="258499"/>
          <a:ext cx="133442" cy="156102"/>
        </a:xfrm>
        <a:prstGeom prst="rightArrow">
          <a:avLst>
            <a:gd name="adj1" fmla="val 60000"/>
            <a:gd name="adj2" fmla="val 50000"/>
          </a:avLst>
        </a:prstGeom>
        <a:gradFill rotWithShape="0">
          <a:gsLst>
            <a:gs pos="0">
              <a:srgbClr val="4F81BD">
                <a:tint val="60000"/>
                <a:hueOff val="0"/>
                <a:satOff val="0"/>
                <a:lumOff val="0"/>
                <a:alphaOff val="0"/>
                <a:shade val="51000"/>
                <a:satMod val="130000"/>
              </a:srgbClr>
            </a:gs>
            <a:gs pos="80000">
              <a:srgbClr val="4F81BD">
                <a:tint val="60000"/>
                <a:hueOff val="0"/>
                <a:satOff val="0"/>
                <a:lumOff val="0"/>
                <a:alphaOff val="0"/>
                <a:shade val="93000"/>
                <a:satMod val="130000"/>
              </a:srgbClr>
            </a:gs>
            <a:gs pos="100000">
              <a:srgbClr val="4F81BD">
                <a:tint val="60000"/>
                <a:hueOff val="0"/>
                <a:satOff val="0"/>
                <a:lumOff val="0"/>
                <a:alphaOff val="0"/>
                <a:shade val="94000"/>
                <a:satMod val="135000"/>
              </a:srgbClr>
            </a:gs>
          </a:gsLst>
          <a:lin ang="16200000" scaled="0"/>
        </a:gradFill>
        <a:ln>
          <a:noFill/>
        </a:ln>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dsp:spPr>
      <dsp:style>
        <a:lnRef idx="0">
          <a:schemeClr val="accent1">
            <a:tint val="60000"/>
          </a:schemeClr>
        </a:lnRef>
        <a:fillRef idx="3">
          <a:schemeClr val="accent1">
            <a:tint val="60000"/>
          </a:schemeClr>
        </a:fillRef>
        <a:effectRef idx="3">
          <a:scrgbClr r="0" g="0" b="0"/>
        </a:effectRef>
        <a:fontRef idx="minor">
          <a:schemeClr val="lt1"/>
        </a:fontRef>
      </dsp:style>
      <dsp:txBody>
        <a:bodyPr lIns="0" tIns="0" rIns="0" bIns="0" anchor="ctr"/>
        <a:lstStyle>
          <a:lvl1pPr algn="ctr">
            <a:defRPr sz="600"/>
          </a:lvl1pPr>
          <a:lvl2pPr marL="57150" indent="-57150" algn="ctr">
            <a:defRPr sz="500"/>
          </a:lvl2pPr>
          <a:lvl3pPr marL="114300" indent="-57150" algn="ctr">
            <a:defRPr sz="500"/>
          </a:lvl3pPr>
          <a:lvl4pPr marL="171450" indent="-57150" algn="ctr">
            <a:defRPr sz="500"/>
          </a:lvl4pPr>
          <a:lvl5pPr marL="228600" indent="-57150" algn="ctr">
            <a:defRPr sz="500"/>
          </a:lvl5pPr>
          <a:lvl6pPr marL="285750" indent="-57150" algn="ctr">
            <a:defRPr sz="500"/>
          </a:lvl6pPr>
          <a:lvl7pPr marL="342900" indent="-57150" algn="ctr">
            <a:defRPr sz="500"/>
          </a:lvl7pPr>
          <a:lvl8pPr marL="400050" indent="-57150" algn="ctr">
            <a:defRPr sz="500"/>
          </a:lvl8pPr>
          <a:lvl9pPr marL="457200" indent="-57150" algn="ctr">
            <a:defRPr sz="500"/>
          </a:lvl9pPr>
        </a:lstStyle>
        <a:p>
          <a:pPr lvl="0">
            <a:lnSpc>
              <a:spcPct val="100000"/>
            </a:lnSpc>
            <a:spcBef>
              <a:spcPct val="0"/>
            </a:spcBef>
            <a:spcAft>
              <a:spcPct val="35000"/>
            </a:spcAft>
          </a:pPr>
          <a:endParaRPr lang="zh-CN" altLang="en-US">
            <a:solidFill>
              <a:sysClr val="window" lastClr="FFFFFF"/>
            </a:solidFill>
            <a:latin typeface="Calibri" panose="020F0502020204030204"/>
            <a:ea typeface="宋体" panose="02010600030101010101" charset="-122"/>
            <a:cs typeface="+mn-cs"/>
          </a:endParaRPr>
        </a:p>
      </dsp:txBody>
      <dsp:txXfrm>
        <a:off x="1569833" y="258499"/>
        <a:ext cx="133442" cy="156102"/>
      </dsp:txXfrm>
    </dsp:sp>
    <dsp:sp modelId="{AD717295-A820-4FDF-A089-D3F4D0FCCCA6}">
      <dsp:nvSpPr>
        <dsp:cNvPr id="7" name="圆角矩形 6"/>
        <dsp:cNvSpPr/>
      </dsp:nvSpPr>
      <dsp:spPr bwMode="white">
        <a:xfrm>
          <a:off x="1762443" y="147717"/>
          <a:ext cx="629444" cy="377666"/>
        </a:xfrm>
        <a:prstGeom prst="roundRect">
          <a:avLst>
            <a:gd name="adj" fmla="val 10000"/>
          </a:avLst>
        </a:prstGeom>
        <a:gradFill rotWithShape="0">
          <a:gsLst>
            <a:gs pos="0">
              <a:srgbClr val="4F81BD">
                <a:hueOff val="0"/>
                <a:satOff val="0"/>
                <a:lumOff val="0"/>
                <a:alphaOff val="0"/>
                <a:shade val="51000"/>
                <a:satMod val="130000"/>
              </a:srgbClr>
            </a:gs>
            <a:gs pos="80000">
              <a:srgbClr val="4F81BD">
                <a:hueOff val="0"/>
                <a:satOff val="0"/>
                <a:lumOff val="0"/>
                <a:alphaOff val="0"/>
                <a:shade val="93000"/>
                <a:satMod val="130000"/>
              </a:srgbClr>
            </a:gs>
            <a:gs pos="100000">
              <a:srgbClr val="4F81BD">
                <a:hueOff val="0"/>
                <a:satOff val="0"/>
                <a:lumOff val="0"/>
                <a:alphaOff val="0"/>
                <a:shade val="94000"/>
                <a:satMod val="135000"/>
              </a:srgbClr>
            </a:gs>
          </a:gsLst>
          <a:lin ang="16200000" scaled="0"/>
        </a:gradFill>
        <a:ln>
          <a:noFill/>
        </a:ln>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dsp:spPr>
      <dsp:style>
        <a:lnRef idx="0">
          <a:schemeClr val="lt1"/>
        </a:lnRef>
        <a:fillRef idx="3">
          <a:schemeClr val="accent1"/>
        </a:fillRef>
        <a:effectRef idx="3">
          <a:scrgbClr r="0" g="0" b="0"/>
        </a:effectRef>
        <a:fontRef idx="minor">
          <a:schemeClr val="lt1"/>
        </a:fontRef>
      </dsp:style>
      <dsp:txBody>
        <a:bodyPr lIns="41910" tIns="41910" rIns="41910" bIns="41910" anchor="ctr"/>
        <a:lstStyle>
          <a:lvl1pPr algn="ctr">
            <a:defRPr sz="6500"/>
          </a:lvl1pPr>
          <a:lvl2pPr marL="285750" indent="-285750" algn="ctr">
            <a:defRPr sz="5000"/>
          </a:lvl2pPr>
          <a:lvl3pPr marL="571500" indent="-285750" algn="ctr">
            <a:defRPr sz="5000"/>
          </a:lvl3pPr>
          <a:lvl4pPr marL="857250" indent="-285750" algn="ctr">
            <a:defRPr sz="5000"/>
          </a:lvl4pPr>
          <a:lvl5pPr marL="1143000" indent="-285750" algn="ctr">
            <a:defRPr sz="5000"/>
          </a:lvl5pPr>
          <a:lvl6pPr marL="1428750" indent="-285750" algn="ctr">
            <a:defRPr sz="5000"/>
          </a:lvl6pPr>
          <a:lvl7pPr marL="1714500" indent="-285750" algn="ctr">
            <a:defRPr sz="5000"/>
          </a:lvl7pPr>
          <a:lvl8pPr marL="2000250" indent="-285750" algn="ctr">
            <a:defRPr sz="5000"/>
          </a:lvl8pPr>
          <a:lvl9pPr marL="2286000" indent="-285750" algn="ctr">
            <a:defRPr sz="5000"/>
          </a:lvl9pPr>
        </a:lstStyle>
        <a:p>
          <a:pPr lvl="0">
            <a:lnSpc>
              <a:spcPct val="100000"/>
            </a:lnSpc>
            <a:spcBef>
              <a:spcPct val="0"/>
            </a:spcBef>
            <a:spcAft>
              <a:spcPct val="35000"/>
            </a:spcAft>
          </a:pPr>
          <a:r>
            <a:rPr lang="zh-CN" altLang="en-US" sz="1100">
              <a:solidFill>
                <a:schemeClr val="tx1"/>
              </a:solidFill>
              <a:latin typeface="Calibri" panose="020F0502020204030204"/>
              <a:ea typeface="宋体" panose="02010600030101010101" charset="-122"/>
              <a:cs typeface="+mn-cs"/>
            </a:rPr>
            <a:t>准备资料</a:t>
          </a:r>
        </a:p>
      </dsp:txBody>
      <dsp:txXfrm>
        <a:off x="1762443" y="147717"/>
        <a:ext cx="629444" cy="377666"/>
      </dsp:txXfrm>
    </dsp:sp>
    <dsp:sp modelId="{61E9F66E-ADDC-4612-B5D3-B09CAD1A33A6}">
      <dsp:nvSpPr>
        <dsp:cNvPr id="8" name="右箭头 7"/>
        <dsp:cNvSpPr/>
      </dsp:nvSpPr>
      <dsp:spPr bwMode="white">
        <a:xfrm>
          <a:off x="2451054" y="258499"/>
          <a:ext cx="133442" cy="156102"/>
        </a:xfrm>
        <a:prstGeom prst="rightArrow">
          <a:avLst>
            <a:gd name="adj1" fmla="val 60000"/>
            <a:gd name="adj2" fmla="val 50000"/>
          </a:avLst>
        </a:prstGeom>
        <a:gradFill rotWithShape="0">
          <a:gsLst>
            <a:gs pos="0">
              <a:srgbClr val="4F81BD">
                <a:tint val="60000"/>
                <a:hueOff val="0"/>
                <a:satOff val="0"/>
                <a:lumOff val="0"/>
                <a:alphaOff val="0"/>
                <a:shade val="51000"/>
                <a:satMod val="130000"/>
              </a:srgbClr>
            </a:gs>
            <a:gs pos="80000">
              <a:srgbClr val="4F81BD">
                <a:tint val="60000"/>
                <a:hueOff val="0"/>
                <a:satOff val="0"/>
                <a:lumOff val="0"/>
                <a:alphaOff val="0"/>
                <a:shade val="93000"/>
                <a:satMod val="130000"/>
              </a:srgbClr>
            </a:gs>
            <a:gs pos="100000">
              <a:srgbClr val="4F81BD">
                <a:tint val="60000"/>
                <a:hueOff val="0"/>
                <a:satOff val="0"/>
                <a:lumOff val="0"/>
                <a:alphaOff val="0"/>
                <a:shade val="94000"/>
                <a:satMod val="135000"/>
              </a:srgbClr>
            </a:gs>
          </a:gsLst>
          <a:lin ang="16200000" scaled="0"/>
        </a:gradFill>
        <a:ln>
          <a:noFill/>
        </a:ln>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dsp:spPr>
      <dsp:style>
        <a:lnRef idx="0">
          <a:schemeClr val="accent1">
            <a:tint val="60000"/>
          </a:schemeClr>
        </a:lnRef>
        <a:fillRef idx="3">
          <a:schemeClr val="accent1">
            <a:tint val="60000"/>
          </a:schemeClr>
        </a:fillRef>
        <a:effectRef idx="3">
          <a:scrgbClr r="0" g="0" b="0"/>
        </a:effectRef>
        <a:fontRef idx="minor">
          <a:schemeClr val="lt1"/>
        </a:fontRef>
      </dsp:style>
      <dsp:txBody>
        <a:bodyPr lIns="0" tIns="0" rIns="0" bIns="0" anchor="ctr"/>
        <a:lstStyle>
          <a:lvl1pPr algn="ctr">
            <a:defRPr sz="600"/>
          </a:lvl1pPr>
          <a:lvl2pPr marL="57150" indent="-57150" algn="ctr">
            <a:defRPr sz="500"/>
          </a:lvl2pPr>
          <a:lvl3pPr marL="114300" indent="-57150" algn="ctr">
            <a:defRPr sz="500"/>
          </a:lvl3pPr>
          <a:lvl4pPr marL="171450" indent="-57150" algn="ctr">
            <a:defRPr sz="500"/>
          </a:lvl4pPr>
          <a:lvl5pPr marL="228600" indent="-57150" algn="ctr">
            <a:defRPr sz="500"/>
          </a:lvl5pPr>
          <a:lvl6pPr marL="285750" indent="-57150" algn="ctr">
            <a:defRPr sz="500"/>
          </a:lvl6pPr>
          <a:lvl7pPr marL="342900" indent="-57150" algn="ctr">
            <a:defRPr sz="500"/>
          </a:lvl7pPr>
          <a:lvl8pPr marL="400050" indent="-57150" algn="ctr">
            <a:defRPr sz="500"/>
          </a:lvl8pPr>
          <a:lvl9pPr marL="457200" indent="-57150" algn="ctr">
            <a:defRPr sz="500"/>
          </a:lvl9pPr>
        </a:lstStyle>
        <a:p>
          <a:pPr lvl="0">
            <a:lnSpc>
              <a:spcPct val="100000"/>
            </a:lnSpc>
            <a:spcBef>
              <a:spcPct val="0"/>
            </a:spcBef>
            <a:spcAft>
              <a:spcPct val="35000"/>
            </a:spcAft>
          </a:pPr>
          <a:endParaRPr lang="zh-CN" altLang="en-US">
            <a:solidFill>
              <a:sysClr val="window" lastClr="FFFFFF"/>
            </a:solidFill>
            <a:latin typeface="Calibri" panose="020F0502020204030204"/>
            <a:ea typeface="宋体" panose="02010600030101010101" charset="-122"/>
            <a:cs typeface="+mn-cs"/>
          </a:endParaRPr>
        </a:p>
      </dsp:txBody>
      <dsp:txXfrm>
        <a:off x="2451054" y="258499"/>
        <a:ext cx="133442" cy="156102"/>
      </dsp:txXfrm>
    </dsp:sp>
    <dsp:sp modelId="{4E83E1E9-9DE6-40E2-88A7-073891C0BEDB}">
      <dsp:nvSpPr>
        <dsp:cNvPr id="9" name="圆角矩形 8"/>
        <dsp:cNvSpPr/>
      </dsp:nvSpPr>
      <dsp:spPr bwMode="white">
        <a:xfrm>
          <a:off x="2643664" y="147717"/>
          <a:ext cx="629444" cy="377666"/>
        </a:xfrm>
        <a:prstGeom prst="roundRect">
          <a:avLst>
            <a:gd name="adj" fmla="val 10000"/>
          </a:avLst>
        </a:prstGeom>
        <a:gradFill rotWithShape="0">
          <a:gsLst>
            <a:gs pos="0">
              <a:srgbClr val="4F81BD">
                <a:hueOff val="0"/>
                <a:satOff val="0"/>
                <a:lumOff val="0"/>
                <a:alphaOff val="0"/>
                <a:shade val="51000"/>
                <a:satMod val="130000"/>
              </a:srgbClr>
            </a:gs>
            <a:gs pos="80000">
              <a:srgbClr val="4F81BD">
                <a:hueOff val="0"/>
                <a:satOff val="0"/>
                <a:lumOff val="0"/>
                <a:alphaOff val="0"/>
                <a:shade val="93000"/>
                <a:satMod val="130000"/>
              </a:srgbClr>
            </a:gs>
            <a:gs pos="100000">
              <a:srgbClr val="4F81BD">
                <a:hueOff val="0"/>
                <a:satOff val="0"/>
                <a:lumOff val="0"/>
                <a:alphaOff val="0"/>
                <a:shade val="94000"/>
                <a:satMod val="135000"/>
              </a:srgbClr>
            </a:gs>
          </a:gsLst>
          <a:lin ang="16200000" scaled="0"/>
        </a:gradFill>
        <a:ln>
          <a:noFill/>
        </a:ln>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dsp:spPr>
      <dsp:style>
        <a:lnRef idx="0">
          <a:schemeClr val="lt1"/>
        </a:lnRef>
        <a:fillRef idx="3">
          <a:schemeClr val="accent1"/>
        </a:fillRef>
        <a:effectRef idx="3">
          <a:scrgbClr r="0" g="0" b="0"/>
        </a:effectRef>
        <a:fontRef idx="minor">
          <a:schemeClr val="lt1"/>
        </a:fontRef>
      </dsp:style>
      <dsp:txBody>
        <a:bodyPr lIns="41910" tIns="41910" rIns="41910" bIns="41910" anchor="ctr"/>
        <a:lstStyle>
          <a:lvl1pPr algn="ctr">
            <a:defRPr sz="6500"/>
          </a:lvl1pPr>
          <a:lvl2pPr marL="285750" indent="-285750" algn="ctr">
            <a:defRPr sz="5000"/>
          </a:lvl2pPr>
          <a:lvl3pPr marL="571500" indent="-285750" algn="ctr">
            <a:defRPr sz="5000"/>
          </a:lvl3pPr>
          <a:lvl4pPr marL="857250" indent="-285750" algn="ctr">
            <a:defRPr sz="5000"/>
          </a:lvl4pPr>
          <a:lvl5pPr marL="1143000" indent="-285750" algn="ctr">
            <a:defRPr sz="5000"/>
          </a:lvl5pPr>
          <a:lvl6pPr marL="1428750" indent="-285750" algn="ctr">
            <a:defRPr sz="5000"/>
          </a:lvl6pPr>
          <a:lvl7pPr marL="1714500" indent="-285750" algn="ctr">
            <a:defRPr sz="5000"/>
          </a:lvl7pPr>
          <a:lvl8pPr marL="2000250" indent="-285750" algn="ctr">
            <a:defRPr sz="5000"/>
          </a:lvl8pPr>
          <a:lvl9pPr marL="2286000" indent="-285750" algn="ctr">
            <a:defRPr sz="5000"/>
          </a:lvl9pPr>
        </a:lstStyle>
        <a:p>
          <a:pPr lvl="0">
            <a:lnSpc>
              <a:spcPct val="100000"/>
            </a:lnSpc>
            <a:spcBef>
              <a:spcPct val="0"/>
            </a:spcBef>
            <a:spcAft>
              <a:spcPct val="35000"/>
            </a:spcAft>
          </a:pPr>
          <a:r>
            <a:rPr lang="zh-CN" altLang="en-US" sz="1100">
              <a:solidFill>
                <a:schemeClr val="tx1"/>
              </a:solidFill>
              <a:latin typeface="Calibri" panose="020F0502020204030204"/>
              <a:ea typeface="宋体" panose="02010600030101010101" charset="-122"/>
              <a:cs typeface="+mn-cs"/>
            </a:rPr>
            <a:t>任务实施</a:t>
          </a:r>
        </a:p>
      </dsp:txBody>
      <dsp:txXfrm>
        <a:off x="2643664" y="147717"/>
        <a:ext cx="629444" cy="377666"/>
      </dsp:txXfrm>
    </dsp:sp>
    <dsp:sp modelId="{A7535D6A-6598-40DA-8296-37B551E66802}">
      <dsp:nvSpPr>
        <dsp:cNvPr id="10" name="右箭头 9"/>
        <dsp:cNvSpPr/>
      </dsp:nvSpPr>
      <dsp:spPr bwMode="white">
        <a:xfrm>
          <a:off x="3332275" y="258499"/>
          <a:ext cx="133442" cy="156102"/>
        </a:xfrm>
        <a:prstGeom prst="rightArrow">
          <a:avLst>
            <a:gd name="adj1" fmla="val 60000"/>
            <a:gd name="adj2" fmla="val 50000"/>
          </a:avLst>
        </a:prstGeom>
      </dsp:spPr>
      <dsp:style>
        <a:lnRef idx="0">
          <a:schemeClr val="accent1">
            <a:tint val="60000"/>
          </a:schemeClr>
        </a:lnRef>
        <a:fillRef idx="3">
          <a:schemeClr val="accent1">
            <a:tint val="60000"/>
          </a:schemeClr>
        </a:fillRef>
        <a:effectRef idx="3">
          <a:scrgbClr r="0" g="0" b="0"/>
        </a:effectRef>
        <a:fontRef idx="minor">
          <a:schemeClr val="lt1"/>
        </a:fontRef>
      </dsp:style>
      <dsp:txBody>
        <a:bodyPr lIns="0" tIns="0" rIns="0" bIns="0" anchor="ctr"/>
        <a:lstStyle>
          <a:lvl1pPr algn="ctr">
            <a:defRPr sz="600"/>
          </a:lvl1pPr>
          <a:lvl2pPr marL="57150" indent="-57150" algn="ctr">
            <a:defRPr sz="500"/>
          </a:lvl2pPr>
          <a:lvl3pPr marL="114300" indent="-57150" algn="ctr">
            <a:defRPr sz="500"/>
          </a:lvl3pPr>
          <a:lvl4pPr marL="171450" indent="-57150" algn="ctr">
            <a:defRPr sz="500"/>
          </a:lvl4pPr>
          <a:lvl5pPr marL="228600" indent="-57150" algn="ctr">
            <a:defRPr sz="500"/>
          </a:lvl5pPr>
          <a:lvl6pPr marL="285750" indent="-57150" algn="ctr">
            <a:defRPr sz="500"/>
          </a:lvl6pPr>
          <a:lvl7pPr marL="342900" indent="-57150" algn="ctr">
            <a:defRPr sz="500"/>
          </a:lvl7pPr>
          <a:lvl8pPr marL="400050" indent="-57150" algn="ctr">
            <a:defRPr sz="500"/>
          </a:lvl8pPr>
          <a:lvl9pPr marL="457200" indent="-57150" algn="ctr">
            <a:defRPr sz="500"/>
          </a:lvl9pPr>
        </a:lstStyle>
        <a:p>
          <a:pPr lvl="0">
            <a:lnSpc>
              <a:spcPct val="100000"/>
            </a:lnSpc>
            <a:spcBef>
              <a:spcPct val="0"/>
            </a:spcBef>
            <a:spcAft>
              <a:spcPct val="35000"/>
            </a:spcAft>
          </a:pPr>
          <a:endParaRPr lang="zh-CN" altLang="en-US"/>
        </a:p>
      </dsp:txBody>
      <dsp:txXfrm>
        <a:off x="3332275" y="258499"/>
        <a:ext cx="133442" cy="156102"/>
      </dsp:txXfrm>
    </dsp:sp>
    <dsp:sp modelId="{95D4BB7A-BE29-476A-A975-6100FD7AADAE}">
      <dsp:nvSpPr>
        <dsp:cNvPr id="11" name="圆角矩形 10"/>
        <dsp:cNvSpPr/>
      </dsp:nvSpPr>
      <dsp:spPr bwMode="white">
        <a:xfrm>
          <a:off x="3524885" y="147717"/>
          <a:ext cx="629444" cy="377666"/>
        </a:xfrm>
        <a:prstGeom prst="roundRect">
          <a:avLst>
            <a:gd name="adj" fmla="val 10000"/>
          </a:avLst>
        </a:prstGeom>
        <a:gradFill rotWithShape="0">
          <a:gsLst>
            <a:gs pos="0">
              <a:srgbClr val="4F81BD">
                <a:hueOff val="0"/>
                <a:satOff val="0"/>
                <a:lumOff val="0"/>
                <a:alphaOff val="0"/>
                <a:shade val="51000"/>
                <a:satMod val="130000"/>
              </a:srgbClr>
            </a:gs>
            <a:gs pos="80000">
              <a:srgbClr val="4F81BD">
                <a:hueOff val="0"/>
                <a:satOff val="0"/>
                <a:lumOff val="0"/>
                <a:alphaOff val="0"/>
                <a:shade val="93000"/>
                <a:satMod val="130000"/>
              </a:srgbClr>
            </a:gs>
            <a:gs pos="100000">
              <a:srgbClr val="4F81BD">
                <a:hueOff val="0"/>
                <a:satOff val="0"/>
                <a:lumOff val="0"/>
                <a:alphaOff val="0"/>
                <a:shade val="94000"/>
                <a:satMod val="135000"/>
              </a:srgbClr>
            </a:gs>
          </a:gsLst>
          <a:lin ang="16200000" scaled="0"/>
        </a:gradFill>
        <a:ln>
          <a:noFill/>
        </a:ln>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dsp:spPr>
      <dsp:style>
        <a:lnRef idx="0">
          <a:schemeClr val="lt1"/>
        </a:lnRef>
        <a:fillRef idx="3">
          <a:schemeClr val="accent1"/>
        </a:fillRef>
        <a:effectRef idx="3">
          <a:scrgbClr r="0" g="0" b="0"/>
        </a:effectRef>
        <a:fontRef idx="minor">
          <a:schemeClr val="lt1"/>
        </a:fontRef>
      </dsp:style>
      <dsp:txBody>
        <a:bodyPr lIns="41910" tIns="41910" rIns="41910" bIns="41910" anchor="ctr"/>
        <a:lstStyle>
          <a:lvl1pPr algn="ctr">
            <a:defRPr sz="6500"/>
          </a:lvl1pPr>
          <a:lvl2pPr marL="285750" indent="-285750" algn="ctr">
            <a:defRPr sz="5000"/>
          </a:lvl2pPr>
          <a:lvl3pPr marL="571500" indent="-285750" algn="ctr">
            <a:defRPr sz="5000"/>
          </a:lvl3pPr>
          <a:lvl4pPr marL="857250" indent="-285750" algn="ctr">
            <a:defRPr sz="5000"/>
          </a:lvl4pPr>
          <a:lvl5pPr marL="1143000" indent="-285750" algn="ctr">
            <a:defRPr sz="5000"/>
          </a:lvl5pPr>
          <a:lvl6pPr marL="1428750" indent="-285750" algn="ctr">
            <a:defRPr sz="5000"/>
          </a:lvl6pPr>
          <a:lvl7pPr marL="1714500" indent="-285750" algn="ctr">
            <a:defRPr sz="5000"/>
          </a:lvl7pPr>
          <a:lvl8pPr marL="2000250" indent="-285750" algn="ctr">
            <a:defRPr sz="5000"/>
          </a:lvl8pPr>
          <a:lvl9pPr marL="2286000" indent="-285750" algn="ctr">
            <a:defRPr sz="5000"/>
          </a:lvl9pPr>
        </a:lstStyle>
        <a:p>
          <a:pPr lvl="0">
            <a:lnSpc>
              <a:spcPct val="100000"/>
            </a:lnSpc>
            <a:spcBef>
              <a:spcPct val="0"/>
            </a:spcBef>
            <a:spcAft>
              <a:spcPct val="35000"/>
            </a:spcAft>
          </a:pPr>
          <a:r>
            <a:rPr lang="zh-CN" altLang="en-US" sz="1100">
              <a:solidFill>
                <a:schemeClr val="tx1"/>
              </a:solidFill>
            </a:rPr>
            <a:t>总结反馈</a:t>
          </a:r>
          <a:endParaRPr lang="zh-CN" altLang="en-US" sz="1100">
            <a:solidFill>
              <a:schemeClr val="tx1"/>
            </a:solidFill>
            <a:latin typeface="Calibri" panose="020F0502020204030204"/>
            <a:ea typeface="宋体" panose="02010600030101010101" charset="-122"/>
            <a:cs typeface="+mn-cs"/>
          </a:endParaRPr>
        </a:p>
      </dsp:txBody>
      <dsp:txXfrm>
        <a:off x="3524885" y="147717"/>
        <a:ext cx="629444" cy="377666"/>
      </dsp:txXfrm>
    </dsp:sp>
    <dsp:sp modelId="{8ADDF32C-9EC2-4C2F-85D5-0610C43BA7AB}">
      <dsp:nvSpPr>
        <dsp:cNvPr id="12" name="右箭头 11"/>
        <dsp:cNvSpPr/>
      </dsp:nvSpPr>
      <dsp:spPr bwMode="white">
        <a:xfrm>
          <a:off x="4213496" y="258499"/>
          <a:ext cx="133442" cy="156102"/>
        </a:xfrm>
        <a:prstGeom prst="rightArrow">
          <a:avLst>
            <a:gd name="adj1" fmla="val 60000"/>
            <a:gd name="adj2" fmla="val 50000"/>
          </a:avLst>
        </a:prstGeom>
      </dsp:spPr>
      <dsp:style>
        <a:lnRef idx="0">
          <a:schemeClr val="accent1">
            <a:tint val="60000"/>
          </a:schemeClr>
        </a:lnRef>
        <a:fillRef idx="3">
          <a:schemeClr val="accent1">
            <a:tint val="60000"/>
          </a:schemeClr>
        </a:fillRef>
        <a:effectRef idx="3">
          <a:scrgbClr r="0" g="0" b="0"/>
        </a:effectRef>
        <a:fontRef idx="minor">
          <a:schemeClr val="lt1"/>
        </a:fontRef>
      </dsp:style>
      <dsp:txBody>
        <a:bodyPr lIns="0" tIns="0" rIns="0" bIns="0" anchor="ctr"/>
        <a:lstStyle>
          <a:lvl1pPr algn="ctr">
            <a:defRPr sz="600"/>
          </a:lvl1pPr>
          <a:lvl2pPr marL="57150" indent="-57150" algn="ctr">
            <a:defRPr sz="500"/>
          </a:lvl2pPr>
          <a:lvl3pPr marL="114300" indent="-57150" algn="ctr">
            <a:defRPr sz="500"/>
          </a:lvl3pPr>
          <a:lvl4pPr marL="171450" indent="-57150" algn="ctr">
            <a:defRPr sz="500"/>
          </a:lvl4pPr>
          <a:lvl5pPr marL="228600" indent="-57150" algn="ctr">
            <a:defRPr sz="500"/>
          </a:lvl5pPr>
          <a:lvl6pPr marL="285750" indent="-57150" algn="ctr">
            <a:defRPr sz="500"/>
          </a:lvl6pPr>
          <a:lvl7pPr marL="342900" indent="-57150" algn="ctr">
            <a:defRPr sz="500"/>
          </a:lvl7pPr>
          <a:lvl8pPr marL="400050" indent="-57150" algn="ctr">
            <a:defRPr sz="500"/>
          </a:lvl8pPr>
          <a:lvl9pPr marL="457200" indent="-57150" algn="ctr">
            <a:defRPr sz="500"/>
          </a:lvl9pPr>
        </a:lstStyle>
        <a:p>
          <a:pPr lvl="0">
            <a:lnSpc>
              <a:spcPct val="100000"/>
            </a:lnSpc>
            <a:spcBef>
              <a:spcPct val="0"/>
            </a:spcBef>
            <a:spcAft>
              <a:spcPct val="35000"/>
            </a:spcAft>
          </a:pPr>
          <a:endParaRPr lang="zh-CN" altLang="en-US"/>
        </a:p>
      </dsp:txBody>
      <dsp:txXfrm>
        <a:off x="4213496" y="258499"/>
        <a:ext cx="133442" cy="156102"/>
      </dsp:txXfrm>
    </dsp:sp>
    <dsp:sp modelId="{63F115E9-0678-4A89-8FB1-EF14EB72BB20}">
      <dsp:nvSpPr>
        <dsp:cNvPr id="13" name="圆角矩形 12"/>
        <dsp:cNvSpPr/>
      </dsp:nvSpPr>
      <dsp:spPr bwMode="white">
        <a:xfrm>
          <a:off x="4406106" y="147717"/>
          <a:ext cx="629444" cy="377666"/>
        </a:xfrm>
        <a:prstGeom prst="roundRect">
          <a:avLst>
            <a:gd name="adj" fmla="val 10000"/>
          </a:avLst>
        </a:prstGeom>
      </dsp:spPr>
      <dsp:style>
        <a:lnRef idx="0">
          <a:schemeClr val="lt1"/>
        </a:lnRef>
        <a:fillRef idx="3">
          <a:schemeClr val="accent1"/>
        </a:fillRef>
        <a:effectRef idx="3">
          <a:scrgbClr r="0" g="0" b="0"/>
        </a:effectRef>
        <a:fontRef idx="minor">
          <a:schemeClr val="lt1"/>
        </a:fontRef>
      </dsp:style>
      <dsp:txBody>
        <a:bodyPr lIns="41910" tIns="41910" rIns="41910" bIns="41910" anchor="ctr"/>
        <a:lstStyle>
          <a:lvl1pPr algn="ctr">
            <a:defRPr sz="6500"/>
          </a:lvl1pPr>
          <a:lvl2pPr marL="285750" indent="-285750" algn="ctr">
            <a:defRPr sz="5000"/>
          </a:lvl2pPr>
          <a:lvl3pPr marL="571500" indent="-285750" algn="ctr">
            <a:defRPr sz="5000"/>
          </a:lvl3pPr>
          <a:lvl4pPr marL="857250" indent="-285750" algn="ctr">
            <a:defRPr sz="5000"/>
          </a:lvl4pPr>
          <a:lvl5pPr marL="1143000" indent="-285750" algn="ctr">
            <a:defRPr sz="5000"/>
          </a:lvl5pPr>
          <a:lvl6pPr marL="1428750" indent="-285750" algn="ctr">
            <a:defRPr sz="5000"/>
          </a:lvl6pPr>
          <a:lvl7pPr marL="1714500" indent="-285750" algn="ctr">
            <a:defRPr sz="5000"/>
          </a:lvl7pPr>
          <a:lvl8pPr marL="2000250" indent="-285750" algn="ctr">
            <a:defRPr sz="5000"/>
          </a:lvl8pPr>
          <a:lvl9pPr marL="2286000" indent="-285750" algn="ctr">
            <a:defRPr sz="5000"/>
          </a:lvl9pPr>
        </a:lstStyle>
        <a:p>
          <a:pPr lvl="0">
            <a:lnSpc>
              <a:spcPct val="100000"/>
            </a:lnSpc>
            <a:spcBef>
              <a:spcPct val="0"/>
            </a:spcBef>
            <a:spcAft>
              <a:spcPct val="35000"/>
            </a:spcAft>
          </a:pPr>
          <a:r>
            <a:rPr lang="zh-CN" altLang="en-US" sz="1100">
              <a:solidFill>
                <a:schemeClr val="tx1"/>
              </a:solidFill>
            </a:rPr>
            <a:t>完稿归档</a:t>
          </a:r>
        </a:p>
      </dsp:txBody>
      <dsp:txXfrm>
        <a:off x="4406106" y="147717"/>
        <a:ext cx="629444" cy="377666"/>
      </dsp:txXfrm>
    </dsp:sp>
  </dsp:spTree>
</dsp:drawing>
</file>

<file path=word/diagrams/layout1.xml><?xml version="1.0" encoding="utf-8"?>
<dgm:layoutDef xmlns:dgm="http://schemas.openxmlformats.org/drawingml/2006/diagram" xmlns:a="http://schemas.openxmlformats.org/drawingml/2006/main" uniqueId="urn:microsoft.com/office/officeart/2005/8/layout/process1">
  <dgm:title val=""/>
  <dgm:desc val=""/>
  <dgm:catLst>
    <dgm:cat type="process" pri="1000"/>
    <dgm:cat type="convert" pri="15000"/>
  </dgm:catLst>
  <dgm:sampData useDef="1">
    <dgm:dataModel>
      <dgm:ptLst/>
      <dgm:bg/>
      <dgm:whole/>
    </dgm:dataModel>
  </dgm:sampData>
  <dgm:styleData>
    <dgm:dataModel>
      <dgm:ptLst>
        <dgm:pt modelId="0" type="doc">
          <dgm:prSet qsTypeId="urn:microsoft.com/office/officeart/2005/8/quickstyle/simple5"/>
        </dgm:pt>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Name0">
    <dgm:varLst>
      <dgm:dir/>
      <dgm:resizeHandles val="exact"/>
    </dgm:varLst>
    <dgm:choose name="Name1">
      <dgm:if name="Name2" func="var" arg="dir" op="equ" val="norm">
        <dgm:alg type="lin"/>
      </dgm:if>
      <dgm:else name="Name3">
        <dgm:alg type="lin">
          <dgm:param type="linDir" val="fromR"/>
        </dgm:alg>
      </dgm:else>
    </dgm:choose>
    <dgm:shape xmlns:r="http://schemas.openxmlformats.org/officeDocument/2006/relationships" r:blip="">
      <dgm:adjLst/>
    </dgm:shape>
    <dgm:presOf/>
    <dgm:constrLst>
      <dgm:constr type="w" for="ch" ptType="node" refType="w"/>
      <dgm:constr type="h" for="ch" ptType="node" op="equ"/>
      <dgm:constr type="primFontSz" for="ch" ptType="node" op="equ" val="65"/>
      <dgm:constr type="w" for="ch" ptType="sibTrans" refType="w" refFor="ch" refPtType="node" op="equ" fact="0.4"/>
      <dgm:constr type="h" for="ch" ptType="sibTrans" op="equ"/>
      <dgm:constr type="primFontSz" for="des" forName="connectorText" op="equ" val="55"/>
      <dgm:constr type="primFontSz" for="des" forName="connectorText" refType="primFontSz" refFor="ch" refPtType="node" op="lte" fact="0.8"/>
    </dgm:constrLst>
    <dgm:ruleLst/>
    <dgm:forEach name="nodesForEach" axis="ch" ptType="node">
      <dgm:layoutNode name="node">
        <dgm:varLst>
          <dgm:bulletEnabled val="1"/>
        </dgm:varLst>
        <dgm:alg type="tx"/>
        <dgm:shape xmlns:r="http://schemas.openxmlformats.org/officeDocument/2006/relationships" type="roundRect" r:blip="">
          <dgm:adjLst>
            <dgm:adj idx="1" val="0.1"/>
          </dgm:adjLst>
        </dgm:shape>
        <dgm:presOf axis="desOrSelf" ptType="node"/>
        <dgm:constrLst>
          <dgm:constr type="h" refType="w" fact="0.6"/>
          <dgm:constr type="tMarg" refType="primFontSz" fact="0.3"/>
          <dgm:constr type="bMarg" refType="primFontSz" fact="0.3"/>
          <dgm:constr type="lMarg" refType="primFontSz" fact="0.3"/>
          <dgm:constr type="rMarg" refType="primFontSz" fact="0.3"/>
        </dgm:constrLst>
        <dgm:ruleLst>
          <dgm:rule type="primFontSz" val="18" fact="NaN" max="NaN"/>
          <dgm:rule type="h" val="NaN" fact="1.5" max="NaN"/>
          <dgm:rule type="primFontSz" val="5" fact="NaN" max="NaN"/>
          <dgm:rule type="h" val="INF" fact="NaN" max="NaN"/>
        </dgm:ruleLst>
      </dgm:layoutNode>
      <dgm:forEach name="sibTransForEach" axis="followSib" ptType="sibTrans" cnt="1">
        <dgm:layoutNode name="sibTrans">
          <dgm:alg type="conn">
            <dgm:param type="begPts" val="auto"/>
            <dgm:param type="endPts" val="auto"/>
          </dgm:alg>
          <dgm:shape xmlns:r="http://schemas.openxmlformats.org/officeDocument/2006/relationships" type="conn" r:blip="">
            <dgm:adjLst/>
          </dgm:shape>
          <dgm:presOf axis="self"/>
          <dgm:constrLst>
            <dgm:constr type="h" refType="w" fact="0.62"/>
            <dgm:constr type="connDist"/>
            <dgm:constr type="begPad" refType="connDist" fact="0.25"/>
            <dgm:constr type="endPad" refType="connDist" fact="0.22"/>
          </dgm:constrLst>
          <dgm:ruleLst/>
          <dgm:layoutNode name="connectorText">
            <dgm:alg type="tx">
              <dgm:param type="autoTxRot" val="grav"/>
            </dgm:alg>
            <dgm:shape xmlns:r="http://schemas.openxmlformats.org/officeDocument/2006/relationships" type="conn" r:blip="" hideGeom="1">
              <dgm:adjLst/>
            </dgm:shape>
            <dgm:presOf axis="self"/>
            <dgm:constrLst>
              <dgm:constr type="lMarg"/>
              <dgm:constr type="rMarg"/>
              <dgm:constr type="tMarg"/>
              <dgm:constr type="bMarg"/>
            </dgm:constrLst>
            <dgm:ruleLst>
              <dgm:rule type="primFontSz" val="5" fact="NaN" max="NaN"/>
            </dgm:ruleLst>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5#1">
  <dgm:title val=""/>
  <dgm:desc val=""/>
  <dgm:catLst>
    <dgm:cat type="simple" pri="10500"/>
  </dgm:catLst>
  <dgm:scene3d>
    <a:camera prst="orthographicFront"/>
    <a:lightRig rig="threePt" dir="t"/>
  </dgm:scene3d>
  <dgm:styleLbl name="alignAcc1">
    <dgm:scene3d>
      <a:camera prst="orthographicFront"/>
      <a:lightRig rig="threePt" dir="t"/>
    </dgm:scene3d>
    <dgm:txPr/>
    <dgm:style>
      <a:lnRef idx="1">
        <a:scrgbClr r="0" g="0" b="0"/>
      </a:lnRef>
      <a:fillRef idx="1">
        <a:scrgbClr r="0" g="0" b="0"/>
      </a:fillRef>
      <a:effectRef idx="2">
        <a:scrgbClr r="0" g="0" b="0"/>
      </a:effectRef>
      <a:fontRef idx="minor"/>
    </dgm:style>
  </dgm:styleLbl>
  <dgm:styleLbl name="alignAccFollowNode1">
    <dgm:scene3d>
      <a:camera prst="orthographicFront"/>
      <a:lightRig rig="threePt" dir="t"/>
    </dgm:scene3d>
    <dgm:txPr/>
    <dgm:style>
      <a:lnRef idx="1">
        <a:scrgbClr r="0" g="0" b="0"/>
      </a:lnRef>
      <a:fillRef idx="1">
        <a:scrgbClr r="0" g="0" b="0"/>
      </a:fillRef>
      <a:effectRef idx="2">
        <a:scrgbClr r="0" g="0" b="0"/>
      </a:effectRef>
      <a:fontRef idx="minor"/>
    </dgm:style>
  </dgm:styleLbl>
  <dgm:styleLbl name="alignImgPlace1">
    <dgm:scene3d>
      <a:camera prst="orthographicFront"/>
      <a:lightRig rig="threePt" dir="t"/>
    </dgm:scene3d>
    <dgm:txPr/>
    <dgm:style>
      <a:lnRef idx="0">
        <a:scrgbClr r="0" g="0" b="0"/>
      </a:lnRef>
      <a:fillRef idx="1">
        <a:scrgbClr r="0" g="0" b="0"/>
      </a:fillRef>
      <a:effectRef idx="3">
        <a:scrgbClr r="0" g="0" b="0"/>
      </a:effectRef>
      <a:fontRef idx="minor"/>
    </dgm:style>
  </dgm:styleLbl>
  <dgm:styleLbl name="alignNode1">
    <dgm:scene3d>
      <a:camera prst="orthographicFront"/>
      <a:lightRig rig="threePt" dir="t"/>
    </dgm:scene3d>
    <dgm:txPr/>
    <dgm:style>
      <a:lnRef idx="1">
        <a:scrgbClr r="0" g="0" b="0"/>
      </a:lnRef>
      <a:fillRef idx="3">
        <a:scrgbClr r="0" g="0" b="0"/>
      </a:fillRef>
      <a:effectRef idx="3">
        <a:scrgbClr r="0" g="0" b="0"/>
      </a:effectRef>
      <a:fontRef idx="minor">
        <a:schemeClr val="lt1"/>
      </a:fontRef>
    </dgm:style>
  </dgm:styleLbl>
  <dgm:styleLbl name="asst0">
    <dgm:scene3d>
      <a:camera prst="orthographicFront"/>
      <a:lightRig rig="threePt" dir="t"/>
    </dgm:scene3d>
    <dgm:txPr/>
    <dgm:style>
      <a:lnRef idx="0">
        <a:scrgbClr r="0" g="0" b="0"/>
      </a:lnRef>
      <a:fillRef idx="3">
        <a:scrgbClr r="0" g="0" b="0"/>
      </a:fillRef>
      <a:effectRef idx="3">
        <a:scrgbClr r="0" g="0" b="0"/>
      </a:effectRef>
      <a:fontRef idx="minor">
        <a:schemeClr val="lt1"/>
      </a:fontRef>
    </dgm:style>
  </dgm:styleLbl>
  <dgm:styleLbl name="asst1">
    <dgm:scene3d>
      <a:camera prst="orthographicFront"/>
      <a:lightRig rig="threePt" dir="t"/>
    </dgm:scene3d>
    <dgm:txPr/>
    <dgm:style>
      <a:lnRef idx="0">
        <a:scrgbClr r="0" g="0" b="0"/>
      </a:lnRef>
      <a:fillRef idx="3">
        <a:scrgbClr r="0" g="0" b="0"/>
      </a:fillRef>
      <a:effectRef idx="3">
        <a:scrgbClr r="0" g="0" b="0"/>
      </a:effectRef>
      <a:fontRef idx="minor">
        <a:schemeClr val="lt1"/>
      </a:fontRef>
    </dgm:style>
  </dgm:styleLbl>
  <dgm:styleLbl name="asst2">
    <dgm:scene3d>
      <a:camera prst="orthographicFront"/>
      <a:lightRig rig="threePt" dir="t"/>
    </dgm:scene3d>
    <dgm:txPr/>
    <dgm:style>
      <a:lnRef idx="0">
        <a:scrgbClr r="0" g="0" b="0"/>
      </a:lnRef>
      <a:fillRef idx="3">
        <a:scrgbClr r="0" g="0" b="0"/>
      </a:fillRef>
      <a:effectRef idx="3">
        <a:scrgbClr r="0" g="0" b="0"/>
      </a:effectRef>
      <a:fontRef idx="minor">
        <a:schemeClr val="lt1"/>
      </a:fontRef>
    </dgm:style>
  </dgm:styleLbl>
  <dgm:styleLbl name="asst3">
    <dgm:scene3d>
      <a:camera prst="orthographicFront"/>
      <a:lightRig rig="threePt" dir="t"/>
    </dgm:scene3d>
    <dgm:txPr/>
    <dgm:style>
      <a:lnRef idx="0">
        <a:scrgbClr r="0" g="0" b="0"/>
      </a:lnRef>
      <a:fillRef idx="3">
        <a:scrgbClr r="0" g="0" b="0"/>
      </a:fillRef>
      <a:effectRef idx="3">
        <a:scrgbClr r="0" g="0" b="0"/>
      </a:effectRef>
      <a:fontRef idx="minor">
        <a:schemeClr val="lt1"/>
      </a:fontRef>
    </dgm:style>
  </dgm:styleLbl>
  <dgm:styleLbl name="asst4">
    <dgm:scene3d>
      <a:camera prst="orthographicFront"/>
      <a:lightRig rig="threePt" dir="t"/>
    </dgm:scene3d>
    <dgm:txPr/>
    <dgm:style>
      <a:lnRef idx="0">
        <a:scrgbClr r="0" g="0" b="0"/>
      </a:lnRef>
      <a:fillRef idx="3">
        <a:scrgbClr r="0" g="0" b="0"/>
      </a:fillRef>
      <a:effectRef idx="3">
        <a:scrgbClr r="0" g="0" b="0"/>
      </a:effectRef>
      <a:fontRef idx="minor">
        <a:schemeClr val="lt1"/>
      </a:fontRef>
    </dgm:style>
  </dgm:styleLbl>
  <dgm:styleLbl name="bgAcc1">
    <dgm:scene3d>
      <a:camera prst="orthographicFront"/>
      <a:lightRig rig="threePt" dir="t"/>
    </dgm:scene3d>
    <dgm:txPr/>
    <dgm:style>
      <a:lnRef idx="1">
        <a:scrgbClr r="0" g="0" b="0"/>
      </a:lnRef>
      <a:fillRef idx="1">
        <a:scrgbClr r="0" g="0" b="0"/>
      </a:fillRef>
      <a:effectRef idx="2">
        <a:scrgbClr r="0" g="0" b="0"/>
      </a:effectRef>
      <a:fontRef idx="minor"/>
    </dgm:style>
  </dgm:styleLbl>
  <dgm:styleLbl name="bgAccFollowNode1">
    <dgm:scene3d>
      <a:camera prst="orthographicFront"/>
      <a:lightRig rig="threePt" dir="t"/>
    </dgm:scene3d>
    <dgm:txPr/>
    <dgm:style>
      <a:lnRef idx="1">
        <a:scrgbClr r="0" g="0" b="0"/>
      </a:lnRef>
      <a:fillRef idx="1">
        <a:scrgbClr r="0" g="0" b="0"/>
      </a:fillRef>
      <a:effectRef idx="2">
        <a:scrgbClr r="0" g="0" b="0"/>
      </a:effectRef>
      <a:fontRef idx="minor"/>
    </dgm:style>
  </dgm:styleLbl>
  <dgm:styleLbl name="bgImgPlace1">
    <dgm:scene3d>
      <a:camera prst="orthographicFront"/>
      <a:lightRig rig="threePt" dir="t"/>
    </dgm:scene3d>
    <dgm:txPr/>
    <dgm:style>
      <a:lnRef idx="0">
        <a:scrgbClr r="0" g="0" b="0"/>
      </a:lnRef>
      <a:fillRef idx="1">
        <a:scrgbClr r="0" g="0" b="0"/>
      </a:fillRef>
      <a:effectRef idx="3">
        <a:scrgbClr r="0" g="0" b="0"/>
      </a:effectRef>
      <a:fontRef idx="minor"/>
    </dgm:style>
  </dgm:styleLbl>
  <dgm:styleLbl name="bgShp">
    <dgm:scene3d>
      <a:camera prst="orthographicFront"/>
      <a:lightRig rig="threePt" dir="t"/>
    </dgm:scene3d>
    <dgm:txPr/>
    <dgm:style>
      <a:lnRef idx="0">
        <a:scrgbClr r="0" g="0" b="0"/>
      </a:lnRef>
      <a:fillRef idx="1">
        <a:scrgbClr r="0" g="0" b="0"/>
      </a:fillRef>
      <a:effectRef idx="2">
        <a:scrgbClr r="0" g="0" b="0"/>
      </a:effectRef>
      <a:fontRef idx="minor"/>
    </dgm:style>
  </dgm:styleLbl>
  <dgm:styleLbl name="bgSibTrans2D1">
    <dgm:scene3d>
      <a:camera prst="orthographicFront"/>
      <a:lightRig rig="threePt" dir="t"/>
    </dgm:scene3d>
    <dgm:txPr/>
    <dgm:style>
      <a:lnRef idx="0">
        <a:scrgbClr r="0" g="0" b="0"/>
      </a:lnRef>
      <a:fillRef idx="3">
        <a:scrgbClr r="0" g="0" b="0"/>
      </a:fillRef>
      <a:effectRef idx="3">
        <a:scrgbClr r="0" g="0" b="0"/>
      </a:effectRef>
      <a:fontRef idx="minor">
        <a:schemeClr val="lt1"/>
      </a:fontRef>
    </dgm:style>
  </dgm:styleLbl>
  <dgm:styleLbl name="callout">
    <dgm:scene3d>
      <a:camera prst="orthographicFront"/>
      <a:lightRig rig="threePt" dir="t"/>
    </dgm:scene3d>
    <dgm:txPr/>
    <dgm:style>
      <a:lnRef idx="1">
        <a:scrgbClr r="0" g="0" b="0"/>
      </a:lnRef>
      <a:fillRef idx="0">
        <a:scrgbClr r="0" g="0" b="0"/>
      </a:fillRef>
      <a:effectRef idx="1">
        <a:scrgbClr r="0" g="0" b="0"/>
      </a:effectRef>
      <a:fontRef idx="minor"/>
    </dgm:style>
  </dgm:styleLbl>
  <dgm:styleLbl name="conFgAcc1">
    <dgm:scene3d>
      <a:camera prst="orthographicFront"/>
      <a:lightRig rig="threePt" dir="t"/>
    </dgm:scene3d>
    <dgm:txPr/>
    <dgm:style>
      <a:lnRef idx="1">
        <a:scrgbClr r="0" g="0" b="0"/>
      </a:lnRef>
      <a:fillRef idx="1">
        <a:scrgbClr r="0" g="0" b="0"/>
      </a:fillRef>
      <a:effectRef idx="2">
        <a:scrgbClr r="0" g="0" b="0"/>
      </a:effectRef>
      <a:fontRef idx="minor"/>
    </dgm:style>
  </dgm:styleLbl>
  <dgm:styleLbl name="dkBgShp">
    <dgm:scene3d>
      <a:camera prst="orthographicFront"/>
      <a:lightRig rig="threePt" dir="t"/>
    </dgm:scene3d>
    <dgm:txPr/>
    <dgm:style>
      <a:lnRef idx="0">
        <a:scrgbClr r="0" g="0" b="0"/>
      </a:lnRef>
      <a:fillRef idx="1">
        <a:scrgbClr r="0" g="0" b="0"/>
      </a:fillRef>
      <a:effectRef idx="3">
        <a:scrgbClr r="0" g="0" b="0"/>
      </a:effectRef>
      <a:fontRef idx="minor"/>
    </dgm:style>
  </dgm:styleLbl>
  <dgm:styleLbl name="fgAcc0">
    <dgm:scene3d>
      <a:camera prst="orthographicFront"/>
      <a:lightRig rig="threePt" dir="t"/>
    </dgm:scene3d>
    <dgm:txPr/>
    <dgm:style>
      <a:lnRef idx="1">
        <a:scrgbClr r="0" g="0" b="0"/>
      </a:lnRef>
      <a:fillRef idx="1">
        <a:scrgbClr r="0" g="0" b="0"/>
      </a:fillRef>
      <a:effectRef idx="2">
        <a:scrgbClr r="0" g="0" b="0"/>
      </a:effectRef>
      <a:fontRef idx="minor"/>
    </dgm:style>
  </dgm:styleLbl>
  <dgm:styleLbl name="fgAcc1">
    <dgm:scene3d>
      <a:camera prst="orthographicFront"/>
      <a:lightRig rig="threePt" dir="t"/>
    </dgm:scene3d>
    <dgm:txPr/>
    <dgm:style>
      <a:lnRef idx="1">
        <a:scrgbClr r="0" g="0" b="0"/>
      </a:lnRef>
      <a:fillRef idx="1">
        <a:scrgbClr r="0" g="0" b="0"/>
      </a:fillRef>
      <a:effectRef idx="2">
        <a:scrgbClr r="0" g="0" b="0"/>
      </a:effectRef>
      <a:fontRef idx="minor"/>
    </dgm:style>
  </dgm:styleLbl>
  <dgm:styleLbl name="fgAcc2">
    <dgm:scene3d>
      <a:camera prst="orthographicFront"/>
      <a:lightRig rig="threePt" dir="t"/>
    </dgm:scene3d>
    <dgm:txPr/>
    <dgm:style>
      <a:lnRef idx="1">
        <a:scrgbClr r="0" g="0" b="0"/>
      </a:lnRef>
      <a:fillRef idx="1">
        <a:scrgbClr r="0" g="0" b="0"/>
      </a:fillRef>
      <a:effectRef idx="2">
        <a:scrgbClr r="0" g="0" b="0"/>
      </a:effectRef>
      <a:fontRef idx="minor"/>
    </dgm:style>
  </dgm:styleLbl>
  <dgm:styleLbl name="fgAcc3">
    <dgm:scene3d>
      <a:camera prst="orthographicFront"/>
      <a:lightRig rig="threePt" dir="t"/>
    </dgm:scene3d>
    <dgm:txPr/>
    <dgm:style>
      <a:lnRef idx="1">
        <a:scrgbClr r="0" g="0" b="0"/>
      </a:lnRef>
      <a:fillRef idx="1">
        <a:scrgbClr r="0" g="0" b="0"/>
      </a:fillRef>
      <a:effectRef idx="2">
        <a:scrgbClr r="0" g="0" b="0"/>
      </a:effectRef>
      <a:fontRef idx="minor"/>
    </dgm:style>
  </dgm:styleLbl>
  <dgm:styleLbl name="fgAcc4">
    <dgm:scene3d>
      <a:camera prst="orthographicFront"/>
      <a:lightRig rig="threePt" dir="t"/>
    </dgm:scene3d>
    <dgm:txPr/>
    <dgm:style>
      <a:lnRef idx="1">
        <a:scrgbClr r="0" g="0" b="0"/>
      </a:lnRef>
      <a:fillRef idx="1">
        <a:scrgbClr r="0" g="0" b="0"/>
      </a:fillRef>
      <a:effectRef idx="2">
        <a:scrgbClr r="0" g="0" b="0"/>
      </a:effectRef>
      <a:fontRef idx="minor"/>
    </dgm:style>
  </dgm:styleLbl>
  <dgm:styleLbl name="fgAccFollowNode1">
    <dgm:scene3d>
      <a:camera prst="orthographicFront"/>
      <a:lightRig rig="threePt" dir="t"/>
    </dgm:scene3d>
    <dgm:txPr/>
    <dgm:style>
      <a:lnRef idx="1">
        <a:scrgbClr r="0" g="0" b="0"/>
      </a:lnRef>
      <a:fillRef idx="1">
        <a:scrgbClr r="0" g="0" b="0"/>
      </a:fillRef>
      <a:effectRef idx="2">
        <a:scrgbClr r="0" g="0" b="0"/>
      </a:effectRef>
      <a:fontRef idx="minor"/>
    </dgm:style>
  </dgm:styleLbl>
  <dgm:styleLbl name="fgImgPlace1">
    <dgm:scene3d>
      <a:camera prst="orthographicFront"/>
      <a:lightRig rig="threePt" dir="t"/>
    </dgm:scene3d>
    <dgm:txPr/>
    <dgm:style>
      <a:lnRef idx="0">
        <a:scrgbClr r="0" g="0" b="0"/>
      </a:lnRef>
      <a:fillRef idx="1">
        <a:scrgbClr r="0" g="0" b="0"/>
      </a:fillRef>
      <a:effectRef idx="3">
        <a:scrgbClr r="0" g="0" b="0"/>
      </a:effectRef>
      <a:fontRef idx="minor"/>
    </dgm:style>
  </dgm:styleLbl>
  <dgm:styleLbl name="fgShp">
    <dgm:scene3d>
      <a:camera prst="orthographicFront"/>
      <a:lightRig rig="threePt" dir="t"/>
    </dgm:scene3d>
    <dgm:txPr/>
    <dgm:style>
      <a:lnRef idx="0">
        <a:scrgbClr r="0" g="0" b="0"/>
      </a:lnRef>
      <a:fillRef idx="3">
        <a:scrgbClr r="0" g="0" b="0"/>
      </a:fillRef>
      <a:effectRef idx="3">
        <a:scrgbClr r="0" g="0" b="0"/>
      </a:effectRef>
      <a:fontRef idx="minor"/>
    </dgm:style>
  </dgm:styleLbl>
  <dgm:styleLbl name="fgSibTrans2D1">
    <dgm:scene3d>
      <a:camera prst="orthographicFront"/>
      <a:lightRig rig="threePt" dir="t"/>
    </dgm:scene3d>
    <dgm:txPr/>
    <dgm:style>
      <a:lnRef idx="0">
        <a:scrgbClr r="0" g="0" b="0"/>
      </a:lnRef>
      <a:fillRef idx="3">
        <a:scrgbClr r="0" g="0" b="0"/>
      </a:fillRef>
      <a:effectRef idx="3">
        <a:scrgbClr r="0" g="0" b="0"/>
      </a:effectRef>
      <a:fontRef idx="minor">
        <a:schemeClr val="lt1"/>
      </a:fontRef>
    </dgm:style>
  </dgm:styleLbl>
  <dgm:styleLbl name="lnNode1">
    <dgm:scene3d>
      <a:camera prst="orthographicFront"/>
      <a:lightRig rig="threePt" dir="t"/>
    </dgm:scene3d>
    <dgm:txPr/>
    <dgm:style>
      <a:lnRef idx="0">
        <a:scrgbClr r="0" g="0" b="0"/>
      </a:lnRef>
      <a:fillRef idx="3">
        <a:scrgbClr r="0" g="0" b="0"/>
      </a:fillRef>
      <a:effectRef idx="3">
        <a:scrgbClr r="0" g="0" b="0"/>
      </a:effectRef>
      <a:fontRef idx="minor">
        <a:schemeClr val="lt1"/>
      </a:fontRef>
    </dgm:style>
  </dgm:styleLbl>
  <dgm:styleLbl name="node0">
    <dgm:scene3d>
      <a:camera prst="orthographicFront"/>
      <a:lightRig rig="threePt" dir="t"/>
    </dgm:scene3d>
    <dgm:txPr/>
    <dgm:style>
      <a:lnRef idx="0">
        <a:scrgbClr r="0" g="0" b="0"/>
      </a:lnRef>
      <a:fillRef idx="3">
        <a:scrgbClr r="0" g="0" b="0"/>
      </a:fillRef>
      <a:effectRef idx="3">
        <a:scrgbClr r="0" g="0" b="0"/>
      </a:effectRef>
      <a:fontRef idx="minor">
        <a:schemeClr val="lt1"/>
      </a:fontRef>
    </dgm:style>
  </dgm:styleLbl>
  <dgm:styleLbl name="node1">
    <dgm:scene3d>
      <a:camera prst="orthographicFront"/>
      <a:lightRig rig="threePt" dir="t"/>
    </dgm:scene3d>
    <dgm:txPr/>
    <dgm:style>
      <a:lnRef idx="0">
        <a:scrgbClr r="0" g="0" b="0"/>
      </a:lnRef>
      <a:fillRef idx="3">
        <a:scrgbClr r="0" g="0" b="0"/>
      </a:fillRef>
      <a:effectRef idx="3">
        <a:scrgbClr r="0" g="0" b="0"/>
      </a:effectRef>
      <a:fontRef idx="minor">
        <a:schemeClr val="lt1"/>
      </a:fontRef>
    </dgm:style>
  </dgm:styleLbl>
  <dgm:styleLbl name="node2">
    <dgm:scene3d>
      <a:camera prst="orthographicFront"/>
      <a:lightRig rig="threePt" dir="t"/>
    </dgm:scene3d>
    <dgm:txPr/>
    <dgm:style>
      <a:lnRef idx="0">
        <a:scrgbClr r="0" g="0" b="0"/>
      </a:lnRef>
      <a:fillRef idx="3">
        <a:scrgbClr r="0" g="0" b="0"/>
      </a:fillRef>
      <a:effectRef idx="3">
        <a:scrgbClr r="0" g="0" b="0"/>
      </a:effectRef>
      <a:fontRef idx="minor">
        <a:schemeClr val="lt1"/>
      </a:fontRef>
    </dgm:style>
  </dgm:styleLbl>
  <dgm:styleLbl name="node3">
    <dgm:scene3d>
      <a:camera prst="orthographicFront"/>
      <a:lightRig rig="threePt" dir="t"/>
    </dgm:scene3d>
    <dgm:txPr/>
    <dgm:style>
      <a:lnRef idx="0">
        <a:scrgbClr r="0" g="0" b="0"/>
      </a:lnRef>
      <a:fillRef idx="3">
        <a:scrgbClr r="0" g="0" b="0"/>
      </a:fillRef>
      <a:effectRef idx="3">
        <a:scrgbClr r="0" g="0" b="0"/>
      </a:effectRef>
      <a:fontRef idx="minor">
        <a:schemeClr val="lt1"/>
      </a:fontRef>
    </dgm:style>
  </dgm:styleLbl>
  <dgm:styleLbl name="node4">
    <dgm:scene3d>
      <a:camera prst="orthographicFront"/>
      <a:lightRig rig="threePt" dir="t"/>
    </dgm:scene3d>
    <dgm:txPr/>
    <dgm:style>
      <a:lnRef idx="0">
        <a:scrgbClr r="0" g="0" b="0"/>
      </a:lnRef>
      <a:fillRef idx="3">
        <a:scrgbClr r="0" g="0" b="0"/>
      </a:fillRef>
      <a:effectRef idx="3">
        <a:scrgbClr r="0" g="0" b="0"/>
      </a:effectRef>
      <a:fontRef idx="minor">
        <a:schemeClr val="lt1"/>
      </a:fontRef>
    </dgm:style>
  </dgm:styleLbl>
  <dgm:styleLbl name="parChTrans1D1">
    <dgm:scene3d>
      <a:camera prst="orthographicFront"/>
      <a:lightRig rig="threePt" dir="t"/>
    </dgm:scene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txPr/>
    <dgm:style>
      <a:lnRef idx="2">
        <a:scrgbClr r="0" g="0" b="0"/>
      </a:lnRef>
      <a:fillRef idx="0">
        <a:scrgbClr r="0" g="0" b="0"/>
      </a:fillRef>
      <a:effectRef idx="0">
        <a:scrgbClr r="0" g="0" b="0"/>
      </a:effectRef>
      <a:fontRef idx="minor"/>
    </dgm:style>
  </dgm:styleLbl>
  <dgm:styleLbl name="parChTrans2D1">
    <dgm:scene3d>
      <a:camera prst="orthographicFront"/>
      <a:lightRig rig="threePt" dir="t"/>
    </dgm:scene3d>
    <dgm:txPr/>
    <dgm:style>
      <a:lnRef idx="0">
        <a:scrgbClr r="0" g="0" b="0"/>
      </a:lnRef>
      <a:fillRef idx="3">
        <a:scrgbClr r="0" g="0" b="0"/>
      </a:fillRef>
      <a:effectRef idx="3">
        <a:scrgbClr r="0" g="0" b="0"/>
      </a:effectRef>
      <a:fontRef idx="minor">
        <a:schemeClr val="lt1"/>
      </a:fontRef>
    </dgm:style>
  </dgm:styleLbl>
  <dgm:styleLbl name="parChTrans2D2">
    <dgm:scene3d>
      <a:camera prst="orthographicFront"/>
      <a:lightRig rig="threePt" dir="t"/>
    </dgm:scene3d>
    <dgm:txPr/>
    <dgm:style>
      <a:lnRef idx="0">
        <a:scrgbClr r="0" g="0" b="0"/>
      </a:lnRef>
      <a:fillRef idx="3">
        <a:scrgbClr r="0" g="0" b="0"/>
      </a:fillRef>
      <a:effectRef idx="3">
        <a:scrgbClr r="0" g="0" b="0"/>
      </a:effectRef>
      <a:fontRef idx="minor">
        <a:schemeClr val="lt1"/>
      </a:fontRef>
    </dgm:style>
  </dgm:styleLbl>
  <dgm:styleLbl name="parChTrans2D3">
    <dgm:scene3d>
      <a:camera prst="orthographicFront"/>
      <a:lightRig rig="threePt" dir="t"/>
    </dgm:scene3d>
    <dgm:txPr/>
    <dgm:style>
      <a:lnRef idx="0">
        <a:scrgbClr r="0" g="0" b="0"/>
      </a:lnRef>
      <a:fillRef idx="3">
        <a:scrgbClr r="0" g="0" b="0"/>
      </a:fillRef>
      <a:effectRef idx="3">
        <a:scrgbClr r="0" g="0" b="0"/>
      </a:effectRef>
      <a:fontRef idx="minor">
        <a:schemeClr val="lt1"/>
      </a:fontRef>
    </dgm:style>
  </dgm:styleLbl>
  <dgm:styleLbl name="parChTrans2D4">
    <dgm:scene3d>
      <a:camera prst="orthographicFront"/>
      <a:lightRig rig="threePt" dir="t"/>
    </dgm:scene3d>
    <dgm:txPr/>
    <dgm:style>
      <a:lnRef idx="0">
        <a:scrgbClr r="0" g="0" b="0"/>
      </a:lnRef>
      <a:fillRef idx="3">
        <a:scrgbClr r="0" g="0" b="0"/>
      </a:fillRef>
      <a:effectRef idx="3">
        <a:scrgbClr r="0" g="0" b="0"/>
      </a:effectRef>
      <a:fontRef idx="minor">
        <a:schemeClr val="lt1"/>
      </a:fontRef>
    </dgm:style>
  </dgm:styleLbl>
  <dgm:styleLbl name="revTx">
    <dgm:scene3d>
      <a:camera prst="orthographicFront"/>
      <a:lightRig rig="threePt" dir="t"/>
    </dgm:scene3d>
    <dgm:txPr/>
    <dgm:style>
      <a:lnRef idx="0">
        <a:scrgbClr r="0" g="0" b="0"/>
      </a:lnRef>
      <a:fillRef idx="0">
        <a:scrgbClr r="0" g="0" b="0"/>
      </a:fillRef>
      <a:effectRef idx="0">
        <a:scrgbClr r="0" g="0" b="0"/>
      </a:effectRef>
      <a:fontRef idx="minor"/>
    </dgm:style>
  </dgm:styleLbl>
  <dgm:styleLbl name="sibTrans1D1">
    <dgm:scene3d>
      <a:camera prst="orthographicFront"/>
      <a:lightRig rig="threePt" dir="t"/>
    </dgm:scene3d>
    <dgm:txPr/>
    <dgm:style>
      <a:lnRef idx="1">
        <a:scrgbClr r="0" g="0" b="0"/>
      </a:lnRef>
      <a:fillRef idx="0">
        <a:scrgbClr r="0" g="0" b="0"/>
      </a:fillRef>
      <a:effectRef idx="0">
        <a:scrgbClr r="0" g="0" b="0"/>
      </a:effectRef>
      <a:fontRef idx="minor"/>
    </dgm:style>
  </dgm:styleLbl>
  <dgm:styleLbl name="sibTrans2D1">
    <dgm:scene3d>
      <a:camera prst="orthographicFront"/>
      <a:lightRig rig="threePt" dir="t"/>
    </dgm:scene3d>
    <dgm:txPr/>
    <dgm:style>
      <a:lnRef idx="0">
        <a:scrgbClr r="0" g="0" b="0"/>
      </a:lnRef>
      <a:fillRef idx="3">
        <a:scrgbClr r="0" g="0" b="0"/>
      </a:fillRef>
      <a:effectRef idx="3">
        <a:scrgbClr r="0" g="0" b="0"/>
      </a:effectRef>
      <a:fontRef idx="minor">
        <a:schemeClr val="lt1"/>
      </a:fontRef>
    </dgm:style>
  </dgm:styleLbl>
  <dgm:styleLbl name="solidAlignAcc1">
    <dgm:scene3d>
      <a:camera prst="orthographicFront"/>
      <a:lightRig rig="threePt" dir="t"/>
    </dgm:scene3d>
    <dgm:txPr/>
    <dgm:style>
      <a:lnRef idx="1">
        <a:scrgbClr r="0" g="0" b="0"/>
      </a:lnRef>
      <a:fillRef idx="1">
        <a:scrgbClr r="0" g="0" b="0"/>
      </a:fillRef>
      <a:effectRef idx="3">
        <a:scrgbClr r="0" g="0" b="0"/>
      </a:effectRef>
      <a:fontRef idx="minor"/>
    </dgm:style>
  </dgm:styleLbl>
  <dgm:styleLbl name="solidBgAcc1">
    <dgm:scene3d>
      <a:camera prst="orthographicFront"/>
      <a:lightRig rig="threePt" dir="t"/>
    </dgm:scene3d>
    <dgm:txPr/>
    <dgm:style>
      <a:lnRef idx="1">
        <a:scrgbClr r="0" g="0" b="0"/>
      </a:lnRef>
      <a:fillRef idx="1">
        <a:scrgbClr r="0" g="0" b="0"/>
      </a:fillRef>
      <a:effectRef idx="3">
        <a:scrgbClr r="0" g="0" b="0"/>
      </a:effectRef>
      <a:fontRef idx="minor"/>
    </dgm:style>
  </dgm:styleLbl>
  <dgm:styleLbl name="solidFgAcc1">
    <dgm:scene3d>
      <a:camera prst="orthographicFront"/>
      <a:lightRig rig="threePt" dir="t"/>
    </dgm:scene3d>
    <dgm:txPr/>
    <dgm:style>
      <a:lnRef idx="1">
        <a:scrgbClr r="0" g="0" b="0"/>
      </a:lnRef>
      <a:fillRef idx="1">
        <a:scrgbClr r="0" g="0" b="0"/>
      </a:fillRef>
      <a:effectRef idx="2">
        <a:scrgbClr r="0" g="0" b="0"/>
      </a:effectRef>
      <a:fontRef idx="minor"/>
    </dgm:style>
  </dgm:styleLbl>
  <dgm:styleLbl name="trAlignAcc1">
    <dgm:scene3d>
      <a:camera prst="orthographicFront"/>
      <a:lightRig rig="threePt" dir="t"/>
    </dgm:scene3d>
    <dgm:txPr/>
    <dgm:style>
      <a:lnRef idx="1">
        <a:scrgbClr r="0" g="0" b="0"/>
      </a:lnRef>
      <a:fillRef idx="1">
        <a:scrgbClr r="0" g="0" b="0"/>
      </a:fillRef>
      <a:effectRef idx="0">
        <a:scrgbClr r="0" g="0" b="0"/>
      </a:effectRef>
      <a:fontRef idx="minor"/>
    </dgm:style>
  </dgm:styleLbl>
  <dgm:styleLbl name="trBgShp">
    <dgm:scene3d>
      <a:camera prst="orthographicFront"/>
      <a:lightRig rig="threePt" dir="t"/>
    </dgm:scene3d>
    <dgm:txPr/>
    <dgm:style>
      <a:lnRef idx="0">
        <a:scrgbClr r="0" g="0" b="0"/>
      </a:lnRef>
      <a:fillRef idx="1">
        <a:scrgbClr r="0" g="0" b="0"/>
      </a:fillRef>
      <a:effectRef idx="0">
        <a:scrgbClr r="0" g="0" b="0"/>
      </a:effectRef>
      <a:fontRef idx="minor"/>
    </dgm:style>
  </dgm:styleLbl>
  <dgm:styleLbl name="vennNode1">
    <dgm:scene3d>
      <a:camera prst="orthographicFront"/>
      <a:lightRig rig="threePt" dir="t"/>
    </dgm:scene3d>
    <dgm:txPr/>
    <dgm:style>
      <a:lnRef idx="0">
        <a:scrgbClr r="0" g="0" b="0"/>
      </a:lnRef>
      <a:fillRef idx="3">
        <a:scrgbClr r="0" g="0" b="0"/>
      </a:fillRef>
      <a:effectRef idx="3">
        <a:scrgbClr r="0" g="0" b="0"/>
      </a:effectRef>
      <a:fontRef idx="minor">
        <a:schemeClr val="tx1"/>
      </a:fontRef>
    </dgm:style>
  </dgm:styleLbl>
</dgm:styleDef>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12</Pages>
  <Words>8717</Words>
  <Characters>9208</Characters>
  <Lines>22</Lines>
  <Paragraphs>6</Paragraphs>
  <TotalTime>0</TotalTime>
  <ScaleCrop>false</ScaleCrop>
  <LinksUpToDate>false</LinksUpToDate>
  <CharactersWithSpaces>9237</CharactersWithSpaces>
  <Application>WPS Office_12.1.0.17857_F1E327BC-269C-435d-A152-05C5408002CA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2022-08-19T03:02:00Z</dcterms:created>
  <dc:creator>徐 玉</dc:creator>
  <cp:lastModifiedBy>桂灵</cp:lastModifiedBy>
  <cp:lastPrinted>2024-08-15T01:38:00Z</cp:lastPrinted>
  <dcterms:modified xsi:type="dcterms:W3CDTF">2024-09-04T08:21:49Z</dcterms:modified>
  <cp:revision>12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2052-12.1.0.17857</vt:lpwstr>
  </property>
  <property fmtid="{D5CDD505-2E9C-101B-9397-08002B2CF9AE}" pid="3" name="ICV">
    <vt:lpwstr>43160EB4B8E946A793214394FD2D5318_13</vt:lpwstr>
  </property>
</Properties>
</file>