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AC9EC0">
      <w:pPr>
        <w:jc w:val="center"/>
        <w:rPr>
          <w:rFonts w:asciiTheme="minorEastAsia" w:hAnsiTheme="minorEastAsia"/>
          <w:b/>
          <w:sz w:val="56"/>
        </w:rPr>
      </w:pPr>
      <w:r>
        <w:drawing>
          <wp:inline distT="0" distB="0" distL="0" distR="0">
            <wp:extent cx="4326890" cy="1233170"/>
            <wp:effectExtent l="0" t="0" r="0" b="0"/>
            <wp:docPr id="29" name="图片 1" descr="高技校LOGOQ-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 descr="高技校LOGOQ-2.png"/>
                    <pic:cNvPicPr>
                      <a:picLocks noChangeAspect="1"/>
                    </pic:cNvPicPr>
                  </pic:nvPicPr>
                  <pic:blipFill>
                    <a:blip r:embed="rId4" cstate="print"/>
                    <a:stretch>
                      <a:fillRect/>
                    </a:stretch>
                  </pic:blipFill>
                  <pic:spPr>
                    <a:xfrm>
                      <a:off x="0" y="0"/>
                      <a:ext cx="4338769" cy="1236439"/>
                    </a:xfrm>
                    <a:prstGeom prst="rect">
                      <a:avLst/>
                    </a:prstGeom>
                  </pic:spPr>
                </pic:pic>
              </a:graphicData>
            </a:graphic>
          </wp:inline>
        </w:drawing>
      </w:r>
    </w:p>
    <w:p w14:paraId="71DD4001">
      <w:pPr>
        <w:jc w:val="center"/>
        <w:rPr>
          <w:rFonts w:asciiTheme="minorEastAsia" w:hAnsiTheme="minorEastAsia"/>
          <w:b/>
          <w:sz w:val="56"/>
        </w:rPr>
      </w:pPr>
    </w:p>
    <w:p w14:paraId="6C4AB8DF">
      <w:pPr>
        <w:jc w:val="center"/>
        <w:rPr>
          <w:rFonts w:asciiTheme="minorEastAsia" w:hAnsiTheme="minorEastAsia"/>
          <w:b/>
          <w:sz w:val="56"/>
        </w:rPr>
      </w:pPr>
    </w:p>
    <w:p w14:paraId="1FB3EEF9">
      <w:pPr>
        <w:jc w:val="center"/>
        <w:rPr>
          <w:rFonts w:hint="eastAsia" w:ascii="黑体" w:hAnsi="黑体" w:eastAsia="黑体" w:cs="黑体"/>
          <w:b/>
          <w:sz w:val="52"/>
          <w:szCs w:val="52"/>
        </w:rPr>
      </w:pPr>
      <w:r>
        <w:rPr>
          <w:rFonts w:hint="eastAsia" w:ascii="黑体" w:hAnsi="黑体" w:eastAsia="黑体" w:cs="黑体"/>
          <w:b/>
          <w:sz w:val="52"/>
          <w:szCs w:val="52"/>
        </w:rPr>
        <w:t>《</w:t>
      </w:r>
      <w:r>
        <w:rPr>
          <w:rFonts w:hint="eastAsia" w:asciiTheme="minorEastAsia" w:hAnsiTheme="minorEastAsia"/>
          <w:b/>
          <w:sz w:val="56"/>
        </w:rPr>
        <w:t>智能系统部署交付</w:t>
      </w:r>
      <w:r>
        <w:rPr>
          <w:rFonts w:hint="eastAsia" w:ascii="黑体" w:hAnsi="黑体" w:eastAsia="黑体" w:cs="黑体"/>
          <w:b/>
          <w:sz w:val="52"/>
          <w:szCs w:val="52"/>
        </w:rPr>
        <w:t>》课程标准</w:t>
      </w:r>
    </w:p>
    <w:p w14:paraId="584A3F55">
      <w:pPr>
        <w:jc w:val="center"/>
        <w:rPr>
          <w:rFonts w:asciiTheme="minorEastAsia" w:hAnsiTheme="minorEastAsia"/>
          <w:b/>
          <w:sz w:val="56"/>
        </w:rPr>
      </w:pPr>
    </w:p>
    <w:p w14:paraId="74CD2DC6">
      <w:pPr>
        <w:jc w:val="center"/>
        <w:rPr>
          <w:rFonts w:asciiTheme="minorEastAsia" w:hAnsiTheme="minorEastAsia"/>
          <w:b/>
          <w:sz w:val="56"/>
        </w:rPr>
      </w:pPr>
    </w:p>
    <w:p w14:paraId="5916778F">
      <w:pPr>
        <w:ind w:firstLine="2340" w:firstLineChars="650"/>
        <w:jc w:val="left"/>
        <w:rPr>
          <w:rFonts w:hint="eastAsia" w:ascii="楷体" w:hAnsi="楷体" w:eastAsia="楷体"/>
          <w:sz w:val="36"/>
          <w:lang w:val="en-US" w:eastAsia="zh-CN"/>
        </w:rPr>
      </w:pPr>
      <w:r>
        <w:rPr>
          <w:rFonts w:hint="eastAsia" w:ascii="楷体" w:hAnsi="楷体" w:eastAsia="楷体"/>
          <w:sz w:val="36"/>
        </w:rPr>
        <w:t>课程代码：043006</w:t>
      </w:r>
      <w:r>
        <w:rPr>
          <w:rFonts w:hint="eastAsia" w:ascii="楷体" w:hAnsi="楷体" w:eastAsia="楷体"/>
          <w:sz w:val="36"/>
          <w:lang w:val="en-US" w:eastAsia="zh-CN"/>
        </w:rPr>
        <w:t>4</w:t>
      </w:r>
    </w:p>
    <w:p w14:paraId="2DFA41FB">
      <w:pPr>
        <w:ind w:firstLine="2340" w:firstLineChars="650"/>
        <w:jc w:val="left"/>
        <w:rPr>
          <w:rFonts w:ascii="楷体" w:hAnsi="楷体" w:eastAsia="楷体"/>
          <w:sz w:val="36"/>
        </w:rPr>
      </w:pPr>
      <w:r>
        <w:rPr>
          <w:rFonts w:hint="eastAsia" w:ascii="楷体" w:hAnsi="楷体" w:eastAsia="楷体"/>
          <w:sz w:val="36"/>
        </w:rPr>
        <w:t>课程性质：必修课</w:t>
      </w:r>
    </w:p>
    <w:p w14:paraId="1C81F935">
      <w:pPr>
        <w:jc w:val="left"/>
        <w:rPr>
          <w:rFonts w:hint="default" w:ascii="楷体" w:hAnsi="楷体" w:eastAsia="楷体"/>
          <w:sz w:val="36"/>
          <w:lang w:val="en-US" w:eastAsia="zh-CN"/>
        </w:rPr>
      </w:pPr>
      <w:r>
        <w:rPr>
          <w:rFonts w:hint="eastAsia" w:ascii="楷体" w:hAnsi="楷体" w:eastAsia="楷体"/>
          <w:sz w:val="36"/>
        </w:rPr>
        <w:t xml:space="preserve">             课程类别：</w:t>
      </w:r>
      <w:r>
        <w:rPr>
          <w:rFonts w:hint="eastAsia" w:ascii="楷体" w:hAnsi="楷体" w:eastAsia="楷体"/>
          <w:sz w:val="36"/>
          <w:lang w:val="en-US" w:eastAsia="zh-CN"/>
        </w:rPr>
        <w:t>工学一体化课程</w:t>
      </w:r>
    </w:p>
    <w:p w14:paraId="65B587A9">
      <w:pPr>
        <w:ind w:firstLine="2340" w:firstLineChars="650"/>
        <w:jc w:val="left"/>
        <w:rPr>
          <w:rFonts w:hint="eastAsia" w:ascii="楷体" w:hAnsi="楷体" w:eastAsia="楷体"/>
          <w:sz w:val="36"/>
        </w:rPr>
      </w:pPr>
      <w:r>
        <w:rPr>
          <w:rFonts w:hint="eastAsia" w:ascii="楷体" w:hAnsi="楷体" w:eastAsia="楷体"/>
          <w:sz w:val="36"/>
        </w:rPr>
        <w:t>适用对象：人工智能技术应用专业</w:t>
      </w:r>
    </w:p>
    <w:p w14:paraId="021E2222">
      <w:pPr>
        <w:ind w:firstLine="2340" w:firstLineChars="650"/>
        <w:jc w:val="left"/>
        <w:rPr>
          <w:rFonts w:hint="default" w:ascii="楷体" w:hAnsi="楷体" w:eastAsia="楷体"/>
          <w:sz w:val="36"/>
          <w:lang w:val="en-US" w:eastAsia="zh-CN"/>
        </w:rPr>
      </w:pPr>
      <w:r>
        <w:rPr>
          <w:rFonts w:hint="eastAsia" w:ascii="楷体" w:hAnsi="楷体" w:eastAsia="楷体"/>
          <w:sz w:val="36"/>
        </w:rPr>
        <w:t>所属培养层级</w:t>
      </w:r>
      <w:r>
        <w:rPr>
          <w:rFonts w:hint="eastAsia" w:ascii="楷体" w:hAnsi="楷体" w:eastAsia="楷体"/>
          <w:sz w:val="36"/>
          <w:lang w:eastAsia="zh-CN"/>
        </w:rPr>
        <w:t>：</w:t>
      </w:r>
      <w:r>
        <w:rPr>
          <w:rFonts w:hint="eastAsia" w:ascii="楷体" w:hAnsi="楷体" w:eastAsia="楷体"/>
          <w:sz w:val="36"/>
          <w:lang w:val="en-US" w:eastAsia="zh-CN"/>
        </w:rPr>
        <w:t>初中起五年高技</w:t>
      </w:r>
    </w:p>
    <w:p w14:paraId="69AF22F5">
      <w:pPr>
        <w:ind w:firstLine="2340" w:firstLineChars="650"/>
        <w:jc w:val="left"/>
        <w:rPr>
          <w:rFonts w:hint="default" w:ascii="楷体" w:hAnsi="楷体" w:eastAsia="楷体"/>
          <w:sz w:val="36"/>
          <w:lang w:val="en-US" w:eastAsia="zh-CN"/>
        </w:rPr>
      </w:pPr>
      <w:r>
        <w:rPr>
          <w:rFonts w:hint="eastAsia" w:ascii="楷体" w:hAnsi="楷体" w:eastAsia="楷体"/>
          <w:sz w:val="36"/>
        </w:rPr>
        <w:t>总 学 时：</w:t>
      </w:r>
      <w:r>
        <w:rPr>
          <w:rFonts w:hint="eastAsia" w:ascii="楷体" w:hAnsi="楷体" w:eastAsia="楷体"/>
          <w:sz w:val="36"/>
          <w:lang w:val="en-US" w:eastAsia="zh-CN"/>
        </w:rPr>
        <w:t>144</w:t>
      </w:r>
    </w:p>
    <w:p w14:paraId="5B80E901">
      <w:pPr>
        <w:ind w:firstLine="2340" w:firstLineChars="650"/>
        <w:jc w:val="left"/>
        <w:rPr>
          <w:rFonts w:hint="eastAsia" w:ascii="楷体" w:hAnsi="楷体" w:eastAsia="楷体"/>
          <w:sz w:val="36"/>
          <w:lang w:val="en-US" w:eastAsia="zh-CN"/>
        </w:rPr>
      </w:pPr>
      <w:r>
        <w:rPr>
          <w:rFonts w:hint="eastAsia" w:ascii="楷体" w:hAnsi="楷体" w:eastAsia="楷体"/>
          <w:sz w:val="36"/>
          <w:lang w:val="en-US" w:eastAsia="zh-CN"/>
        </w:rPr>
        <w:t>制定人</w:t>
      </w:r>
      <w:r>
        <w:rPr>
          <w:rFonts w:hint="eastAsia" w:ascii="楷体" w:hAnsi="楷体" w:eastAsia="楷体"/>
          <w:sz w:val="36"/>
        </w:rPr>
        <w:t>：</w:t>
      </w:r>
    </w:p>
    <w:p w14:paraId="67285957">
      <w:pPr>
        <w:ind w:firstLine="2340" w:firstLineChars="650"/>
        <w:jc w:val="left"/>
        <w:rPr>
          <w:rFonts w:ascii="楷体" w:hAnsi="楷体" w:eastAsia="楷体"/>
          <w:sz w:val="36"/>
        </w:rPr>
      </w:pPr>
      <w:r>
        <w:rPr>
          <w:rFonts w:hint="eastAsia" w:ascii="楷体" w:hAnsi="楷体" w:eastAsia="楷体"/>
          <w:sz w:val="36"/>
          <w:lang w:val="en-US" w:eastAsia="zh-CN"/>
        </w:rPr>
        <w:t>审核</w:t>
      </w:r>
      <w:r>
        <w:rPr>
          <w:rFonts w:hint="eastAsia" w:ascii="楷体" w:hAnsi="楷体" w:eastAsia="楷体"/>
          <w:sz w:val="36"/>
        </w:rPr>
        <w:t>人：</w:t>
      </w:r>
    </w:p>
    <w:p w14:paraId="642590F9">
      <w:pPr>
        <w:ind w:firstLine="2340" w:firstLineChars="650"/>
        <w:jc w:val="left"/>
        <w:rPr>
          <w:rFonts w:hint="eastAsia" w:ascii="楷体" w:hAnsi="楷体" w:eastAsia="楷体"/>
          <w:sz w:val="36"/>
        </w:rPr>
      </w:pPr>
      <w:r>
        <w:rPr>
          <w:rFonts w:hint="eastAsia" w:ascii="楷体" w:hAnsi="楷体" w:eastAsia="楷体"/>
          <w:sz w:val="36"/>
        </w:rPr>
        <w:t>审</w:t>
      </w:r>
      <w:r>
        <w:rPr>
          <w:rFonts w:hint="eastAsia" w:ascii="楷体" w:hAnsi="楷体" w:eastAsia="楷体"/>
          <w:sz w:val="36"/>
          <w:lang w:val="en-US" w:eastAsia="zh-CN"/>
        </w:rPr>
        <w:t>定</w:t>
      </w:r>
      <w:r>
        <w:rPr>
          <w:rFonts w:hint="eastAsia" w:ascii="楷体" w:hAnsi="楷体" w:eastAsia="楷体"/>
          <w:sz w:val="36"/>
        </w:rPr>
        <w:t>人：</w:t>
      </w:r>
    </w:p>
    <w:p w14:paraId="7AA1D4D7">
      <w:pPr>
        <w:ind w:firstLine="2340" w:firstLineChars="650"/>
        <w:jc w:val="left"/>
        <w:rPr>
          <w:rFonts w:hint="default" w:ascii="楷体" w:hAnsi="楷体" w:eastAsia="楷体"/>
          <w:sz w:val="36"/>
          <w:lang w:val="en-US" w:eastAsia="zh-CN"/>
        </w:rPr>
      </w:pPr>
      <w:r>
        <w:rPr>
          <w:rFonts w:hint="eastAsia" w:ascii="楷体" w:hAnsi="楷体" w:eastAsia="楷体"/>
          <w:sz w:val="36"/>
          <w:lang w:val="en-US" w:eastAsia="zh-CN"/>
        </w:rPr>
        <w:t>审批人：</w:t>
      </w:r>
    </w:p>
    <w:p w14:paraId="0D8998AE">
      <w:pPr>
        <w:ind w:firstLine="2340" w:firstLineChars="650"/>
        <w:jc w:val="left"/>
        <w:rPr>
          <w:rFonts w:ascii="宋体" w:hAnsi="宋体" w:eastAsia="宋体"/>
          <w:b/>
          <w:bCs/>
          <w:sz w:val="32"/>
          <w:szCs w:val="32"/>
        </w:rPr>
      </w:pPr>
      <w:r>
        <w:rPr>
          <w:rFonts w:hint="eastAsia" w:ascii="楷体" w:hAnsi="楷体" w:eastAsia="楷体"/>
          <w:sz w:val="36"/>
        </w:rPr>
        <w:t>编订日期：20</w:t>
      </w:r>
      <w:r>
        <w:rPr>
          <w:rFonts w:hint="eastAsia" w:ascii="楷体" w:hAnsi="楷体" w:eastAsia="楷体"/>
          <w:sz w:val="36"/>
          <w:lang w:val="en-US" w:eastAsia="zh-CN"/>
        </w:rPr>
        <w:t>24</w:t>
      </w:r>
      <w:r>
        <w:rPr>
          <w:rFonts w:hint="eastAsia" w:ascii="楷体" w:hAnsi="楷体" w:eastAsia="楷体"/>
          <w:sz w:val="36"/>
        </w:rPr>
        <w:t>年</w:t>
      </w:r>
      <w:r>
        <w:rPr>
          <w:rFonts w:hint="eastAsia" w:ascii="楷体" w:hAnsi="楷体" w:eastAsia="楷体"/>
          <w:sz w:val="36"/>
          <w:lang w:val="en-US" w:eastAsia="zh-CN"/>
        </w:rPr>
        <w:t>9</w:t>
      </w:r>
      <w:r>
        <w:rPr>
          <w:rFonts w:hint="eastAsia" w:ascii="楷体" w:hAnsi="楷体" w:eastAsia="楷体"/>
          <w:sz w:val="36"/>
        </w:rPr>
        <w:t>月</w:t>
      </w:r>
      <w:r>
        <w:rPr>
          <w:rFonts w:hint="eastAsia" w:ascii="楷体" w:hAnsi="楷体" w:eastAsia="楷体"/>
          <w:sz w:val="36"/>
          <w:lang w:val="en-US" w:eastAsia="zh-CN"/>
        </w:rPr>
        <w:t>4</w:t>
      </w:r>
      <w:r>
        <w:rPr>
          <w:rFonts w:hint="eastAsia" w:ascii="楷体" w:hAnsi="楷体" w:eastAsia="楷体"/>
          <w:sz w:val="36"/>
        </w:rPr>
        <w:t>日</w:t>
      </w:r>
      <w:r>
        <w:rPr>
          <w:rFonts w:hint="eastAsia"/>
          <w:b/>
          <w:bCs/>
          <w:sz w:val="36"/>
          <w:szCs w:val="36"/>
        </w:rPr>
        <w:br w:type="page"/>
      </w:r>
    </w:p>
    <w:p w14:paraId="58268BEA">
      <w:pPr>
        <w:jc w:val="center"/>
        <w:rPr>
          <w:rFonts w:ascii="黑体" w:hAnsi="黑体" w:eastAsia="黑体" w:cs="黑体"/>
          <w:b/>
          <w:bCs/>
          <w:sz w:val="36"/>
          <w:szCs w:val="36"/>
        </w:rPr>
      </w:pPr>
      <w:r>
        <w:rPr>
          <w:rFonts w:hint="eastAsia" w:ascii="黑体" w:hAnsi="黑体" w:eastAsia="黑体" w:cs="黑体"/>
          <w:b/>
          <w:bCs/>
          <w:sz w:val="36"/>
          <w:szCs w:val="36"/>
        </w:rPr>
        <w:t>工学一体化课程标准</w:t>
      </w:r>
    </w:p>
    <w:tbl>
      <w:tblPr>
        <w:tblStyle w:val="7"/>
        <w:tblW w:w="0" w:type="auto"/>
        <w:tblInd w:w="103"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825"/>
        <w:gridCol w:w="1770"/>
        <w:gridCol w:w="205"/>
        <w:gridCol w:w="4"/>
        <w:gridCol w:w="3384"/>
        <w:gridCol w:w="1707"/>
        <w:gridCol w:w="926"/>
        <w:gridCol w:w="916"/>
      </w:tblGrid>
      <w:tr w14:paraId="2FFA102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9" w:hRule="atLeast"/>
        </w:trPr>
        <w:tc>
          <w:tcPr>
            <w:tcW w:w="2800" w:type="dxa"/>
            <w:gridSpan w:val="3"/>
            <w:tcBorders>
              <w:tl2br w:val="nil"/>
              <w:tr2bl w:val="nil"/>
            </w:tcBorders>
            <w:vAlign w:val="center"/>
          </w:tcPr>
          <w:p w14:paraId="7E3E1138">
            <w:pPr>
              <w:jc w:val="center"/>
              <w:rPr>
                <w:rFonts w:hint="eastAsia" w:ascii="仿宋" w:hAnsi="仿宋" w:eastAsia="仿宋" w:cs="仿宋"/>
                <w:kern w:val="0"/>
                <w:sz w:val="24"/>
                <w:szCs w:val="24"/>
              </w:rPr>
            </w:pPr>
            <w:r>
              <w:rPr>
                <w:rFonts w:hint="eastAsia" w:ascii="仿宋" w:hAnsi="仿宋" w:eastAsia="仿宋" w:cs="仿宋"/>
                <w:b/>
                <w:bCs/>
                <w:kern w:val="0"/>
                <w:sz w:val="24"/>
                <w:szCs w:val="24"/>
              </w:rPr>
              <w:t>一体化课程名称</w:t>
            </w:r>
          </w:p>
        </w:tc>
        <w:tc>
          <w:tcPr>
            <w:tcW w:w="3388" w:type="dxa"/>
            <w:gridSpan w:val="2"/>
            <w:tcBorders>
              <w:tl2br w:val="nil"/>
              <w:tr2bl w:val="nil"/>
            </w:tcBorders>
            <w:vAlign w:val="center"/>
          </w:tcPr>
          <w:p w14:paraId="4B0D0EDD">
            <w:pPr>
              <w:jc w:val="center"/>
              <w:rPr>
                <w:rFonts w:hint="eastAsia" w:ascii="仿宋" w:hAnsi="仿宋" w:eastAsia="仿宋" w:cs="仿宋"/>
                <w:kern w:val="0"/>
                <w:sz w:val="24"/>
                <w:szCs w:val="24"/>
              </w:rPr>
            </w:pPr>
            <w:r>
              <w:rPr>
                <w:rFonts w:hint="eastAsia" w:ascii="仿宋" w:hAnsi="仿宋" w:eastAsia="仿宋" w:cs="仿宋"/>
                <w:color w:val="000000"/>
                <w:szCs w:val="21"/>
              </w:rPr>
              <w:t>智能系统部署交付</w:t>
            </w:r>
          </w:p>
        </w:tc>
        <w:tc>
          <w:tcPr>
            <w:tcW w:w="1707" w:type="dxa"/>
            <w:tcBorders>
              <w:tl2br w:val="nil"/>
              <w:tr2bl w:val="nil"/>
            </w:tcBorders>
            <w:vAlign w:val="center"/>
          </w:tcPr>
          <w:p w14:paraId="34A12B6F">
            <w:pPr>
              <w:jc w:val="center"/>
              <w:rPr>
                <w:rFonts w:hint="eastAsia" w:ascii="仿宋" w:hAnsi="仿宋" w:eastAsia="仿宋" w:cs="仿宋"/>
                <w:kern w:val="0"/>
                <w:sz w:val="24"/>
                <w:szCs w:val="24"/>
              </w:rPr>
            </w:pPr>
            <w:r>
              <w:rPr>
                <w:rFonts w:hint="eastAsia" w:ascii="仿宋" w:hAnsi="仿宋" w:eastAsia="仿宋" w:cs="仿宋"/>
                <w:b/>
                <w:bCs/>
                <w:kern w:val="0"/>
                <w:sz w:val="24"/>
                <w:szCs w:val="24"/>
              </w:rPr>
              <w:t>学时</w:t>
            </w:r>
          </w:p>
        </w:tc>
        <w:tc>
          <w:tcPr>
            <w:tcW w:w="1842" w:type="dxa"/>
            <w:gridSpan w:val="2"/>
            <w:tcBorders>
              <w:tl2br w:val="nil"/>
              <w:tr2bl w:val="nil"/>
            </w:tcBorders>
            <w:vAlign w:val="center"/>
          </w:tcPr>
          <w:p w14:paraId="1C8B8FBC">
            <w:pPr>
              <w:jc w:val="center"/>
              <w:rPr>
                <w:rFonts w:hint="default" w:ascii="仿宋" w:hAnsi="仿宋" w:eastAsia="仿宋" w:cs="仿宋"/>
                <w:kern w:val="0"/>
                <w:sz w:val="24"/>
                <w:szCs w:val="24"/>
                <w:lang w:val="en-US" w:eastAsia="zh-CN"/>
              </w:rPr>
            </w:pPr>
            <w:r>
              <w:rPr>
                <w:rFonts w:hint="eastAsia" w:ascii="仿宋" w:hAnsi="仿宋" w:eastAsia="仿宋" w:cs="仿宋"/>
                <w:kern w:val="0"/>
                <w:sz w:val="24"/>
                <w:szCs w:val="24"/>
                <w:lang w:val="en-US" w:eastAsia="zh-CN"/>
              </w:rPr>
              <w:t>144</w:t>
            </w:r>
          </w:p>
        </w:tc>
      </w:tr>
      <w:tr w14:paraId="56784A1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26" w:hRule="atLeast"/>
        </w:trPr>
        <w:tc>
          <w:tcPr>
            <w:tcW w:w="9737" w:type="dxa"/>
            <w:gridSpan w:val="8"/>
            <w:tcBorders>
              <w:tl2br w:val="nil"/>
              <w:tr2bl w:val="nil"/>
            </w:tcBorders>
          </w:tcPr>
          <w:p w14:paraId="36BE54F2">
            <w:pPr>
              <w:jc w:val="center"/>
              <w:rPr>
                <w:rFonts w:hint="eastAsia" w:ascii="仿宋" w:hAnsi="仿宋" w:eastAsia="仿宋" w:cs="仿宋"/>
                <w:kern w:val="0"/>
                <w:sz w:val="24"/>
                <w:szCs w:val="24"/>
              </w:rPr>
            </w:pPr>
            <w:r>
              <w:rPr>
                <w:rFonts w:hint="eastAsia" w:ascii="仿宋" w:hAnsi="仿宋" w:eastAsia="仿宋" w:cs="仿宋"/>
                <w:b/>
                <w:sz w:val="24"/>
                <w:szCs w:val="24"/>
              </w:rPr>
              <w:t>典型工作任务描述</w:t>
            </w:r>
          </w:p>
        </w:tc>
      </w:tr>
      <w:tr w14:paraId="3309386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737" w:type="dxa"/>
            <w:gridSpan w:val="8"/>
            <w:tcBorders>
              <w:tl2br w:val="nil"/>
              <w:tr2bl w:val="nil"/>
            </w:tcBorders>
          </w:tcPr>
          <w:p w14:paraId="376CE7D8">
            <w:pPr>
              <w:adjustRightInd w:val="0"/>
              <w:snapToGrid w:val="0"/>
              <w:spacing w:line="360" w:lineRule="auto"/>
              <w:ind w:firstLine="420" w:firstLineChars="200"/>
              <w:rPr>
                <w:rFonts w:ascii="仿宋" w:hAnsi="仿宋" w:eastAsia="仿宋" w:cs="仿宋"/>
                <w:bCs/>
                <w:szCs w:val="21"/>
              </w:rPr>
            </w:pPr>
            <w:r>
              <w:rPr>
                <w:rFonts w:hint="eastAsia" w:ascii="仿宋" w:hAnsi="仿宋" w:eastAsia="仿宋" w:cs="仿宋"/>
                <w:bCs/>
                <w:szCs w:val="21"/>
              </w:rPr>
              <w:t>智能系统部署交付是对解决某个应用场景需求而开发的、集成多个智能产品的应用系统，按照交付流程和标准，进行系统软硬件安装、配置、测试、试运行和交付使用的工作。主要包括智能机器人应用系统、计算机视觉应用系统、智能语音应用系统等的部署交付。</w:t>
            </w:r>
          </w:p>
          <w:p w14:paraId="680722C8">
            <w:pPr>
              <w:adjustRightInd w:val="0"/>
              <w:snapToGrid w:val="0"/>
              <w:spacing w:line="360" w:lineRule="auto"/>
              <w:ind w:firstLine="420" w:firstLineChars="200"/>
              <w:rPr>
                <w:rFonts w:ascii="仿宋" w:hAnsi="仿宋" w:eastAsia="仿宋" w:cs="仿宋"/>
                <w:bCs/>
                <w:szCs w:val="21"/>
              </w:rPr>
            </w:pPr>
            <w:r>
              <w:rPr>
                <w:rFonts w:hint="eastAsia" w:ascii="仿宋" w:hAnsi="仿宋" w:eastAsia="仿宋" w:cs="仿宋"/>
                <w:bCs/>
                <w:szCs w:val="21"/>
              </w:rPr>
              <w:t>智能系统部署交付是面向满足应用场景需求的人工智能系统完成开发后，使其落地实施，产生使用价值的关键环节，由于智能系统集成了不同的智能产品，同时需要算力支撑，系统的安装、配置、测试、试运行、交付工作较为复杂，在应用层的企业中，主要由高级工水平的技术人员独立或团队合作完成。</w:t>
            </w:r>
          </w:p>
          <w:p w14:paraId="74CE4046">
            <w:pPr>
              <w:adjustRightInd w:val="0"/>
              <w:snapToGrid w:val="0"/>
              <w:spacing w:line="360" w:lineRule="auto"/>
              <w:ind w:firstLine="420" w:firstLineChars="200"/>
              <w:rPr>
                <w:rFonts w:ascii="仿宋" w:hAnsi="仿宋" w:eastAsia="仿宋" w:cs="仿宋"/>
                <w:bCs/>
                <w:szCs w:val="21"/>
              </w:rPr>
            </w:pPr>
            <w:r>
              <w:rPr>
                <w:rFonts w:hint="eastAsia" w:ascii="仿宋" w:hAnsi="仿宋" w:eastAsia="仿宋" w:cs="仿宋"/>
                <w:bCs/>
                <w:szCs w:val="21"/>
              </w:rPr>
              <w:t>技术人员从项目经理（或工程部主管）处领取任务后，阅读分析工作任务单，明确工作内容和工期要求；现场勘察，与用户进行有效的专业沟通，获取和记录现场环境布局、网络环境、数据对接等工作信息，查阅系统软硬件的用户手册、产品使用手册、操作指南、部署交付方案等资料，明确交付流程和交付标准；按照规定工期制订部署进度和人员分配计划，合理选用工具、材料、设备；准备部署实施现场，严格按作业规范和综合布线工艺标准，完成智能机器人、AI 摄像机、AI 服务器、边缘节点、智能存算用一体机等硬件设备的安装、综合布线和配置，机器人管理平台的安装与功能配置，智能云管理平台的功能配置，AI 功能云端发布，API 和 SDK 调用，系统功能测试；系统试运行及监测运行状况，测试系统性能，编写应用安装手册、使用手册等交付文档；将试运行良好的系统上线并移交给用户，通过用户验收。</w:t>
            </w:r>
          </w:p>
          <w:p w14:paraId="7F2248FC">
            <w:pPr>
              <w:spacing w:line="360" w:lineRule="auto"/>
              <w:rPr>
                <w:rFonts w:hint="eastAsia" w:ascii="仿宋" w:hAnsi="仿宋" w:eastAsia="仿宋" w:cs="仿宋"/>
                <w:kern w:val="0"/>
                <w:sz w:val="24"/>
                <w:szCs w:val="24"/>
              </w:rPr>
            </w:pPr>
            <w:r>
              <w:rPr>
                <w:rFonts w:hint="eastAsia" w:ascii="仿宋" w:hAnsi="仿宋" w:eastAsia="仿宋" w:cs="仿宋"/>
                <w:bCs/>
                <w:szCs w:val="21"/>
              </w:rPr>
              <w:t>在工作过程中应遵守《信息技术 软件安全保障规范》（GB/T30998—2014）、《信息技术 基于计算机的软件系统的性能测量与评级》（GB/T30975—2014）、《服务机器人 电气安全要求及测试方法》（GB/T40013—2021）、《综合布线系统工程设计规范》（GB50311—2016）、《综合布线系统工程验收规范》（GB/T50312—2016）的安全操作规范，遵守企业部署交付项目管理和 6S 管理规定，不产生因延期、缺陷、物料折损等造成的项目外成本；具备较强的信息处理、与人交流、交往与合作、解决问题能力，较强的安全意识、质量意识、保护隐私意识、环保意识，耐心细致、精益求精等职业素养。</w:t>
            </w:r>
          </w:p>
        </w:tc>
      </w:tr>
      <w:tr w14:paraId="756AFEA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737" w:type="dxa"/>
            <w:gridSpan w:val="8"/>
            <w:tcBorders>
              <w:tl2br w:val="nil"/>
              <w:tr2bl w:val="nil"/>
            </w:tcBorders>
          </w:tcPr>
          <w:p w14:paraId="15866BFC">
            <w:pPr>
              <w:tabs>
                <w:tab w:val="left" w:pos="2081"/>
              </w:tabs>
              <w:jc w:val="center"/>
              <w:rPr>
                <w:rFonts w:hint="eastAsia" w:ascii="仿宋" w:hAnsi="仿宋" w:eastAsia="仿宋" w:cs="仿宋"/>
                <w:kern w:val="0"/>
                <w:sz w:val="24"/>
                <w:szCs w:val="24"/>
              </w:rPr>
            </w:pPr>
            <w:r>
              <w:rPr>
                <w:rFonts w:hint="eastAsia" w:ascii="仿宋" w:hAnsi="仿宋" w:eastAsia="仿宋" w:cs="仿宋"/>
                <w:b/>
                <w:bCs/>
                <w:kern w:val="0"/>
                <w:sz w:val="24"/>
                <w:szCs w:val="24"/>
              </w:rPr>
              <w:t>工作内容分析</w:t>
            </w:r>
          </w:p>
        </w:tc>
      </w:tr>
      <w:tr w14:paraId="00F911C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2595" w:type="dxa"/>
            <w:gridSpan w:val="2"/>
            <w:tcBorders>
              <w:tl2br w:val="nil"/>
              <w:tr2bl w:val="nil"/>
            </w:tcBorders>
          </w:tcPr>
          <w:p w14:paraId="16480A4A">
            <w:pPr>
              <w:pStyle w:val="14"/>
              <w:spacing w:line="360" w:lineRule="auto"/>
              <w:ind w:firstLine="0" w:firstLineChars="0"/>
              <w:jc w:val="left"/>
              <w:rPr>
                <w:rFonts w:ascii="仿宋" w:hAnsi="仿宋" w:eastAsia="仿宋" w:cs="仿宋"/>
                <w:b/>
                <w:color w:val="000000" w:themeColor="text1"/>
                <w:szCs w:val="21"/>
                <w14:textFill>
                  <w14:solidFill>
                    <w14:schemeClr w14:val="tx1"/>
                  </w14:solidFill>
                </w14:textFill>
              </w:rPr>
            </w:pPr>
            <w:r>
              <w:rPr>
                <w:rFonts w:hint="eastAsia" w:ascii="仿宋" w:hAnsi="仿宋" w:eastAsia="仿宋" w:cs="仿宋"/>
                <w:b/>
                <w:color w:val="000000" w:themeColor="text1"/>
                <w:szCs w:val="21"/>
                <w14:textFill>
                  <w14:solidFill>
                    <w14:schemeClr w14:val="tx1"/>
                  </w14:solidFill>
                </w14:textFill>
              </w:rPr>
              <w:t>工作与学习对象：</w:t>
            </w:r>
          </w:p>
          <w:p w14:paraId="64BF6829">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1.【工作任务单阅读分析与现场信息获取】</w:t>
            </w:r>
          </w:p>
          <w:p w14:paraId="1E0BDE57">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工作任务单的阅读分析；现场勘察，与用户进行专业沟通，部署交付现场信息的获取。</w:t>
            </w:r>
          </w:p>
          <w:p w14:paraId="485D633B">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2.【交付流程和标准的确定】</w:t>
            </w:r>
          </w:p>
          <w:p w14:paraId="41B4AE0B">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智能系统软硬件的用户手册、产品使用手册、操作指南、部署交付方案的阅读分析，交付流程和标准的确认。</w:t>
            </w:r>
          </w:p>
          <w:p w14:paraId="4B85AD25">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3.【计划的制订与前期准备】</w:t>
            </w:r>
          </w:p>
          <w:p w14:paraId="6250336A">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工期安排和人员分配计划制订，工具、材料及设备的准备。</w:t>
            </w:r>
          </w:p>
          <w:p w14:paraId="39D15495">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4.【智能系统现场部署】</w:t>
            </w:r>
          </w:p>
          <w:p w14:paraId="2EA6A143">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智能系统软硬件的安装、综合布线、系统配置、功能测试。</w:t>
            </w:r>
          </w:p>
          <w:p w14:paraId="4985459B">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5.【智能系统试运行】</w:t>
            </w:r>
          </w:p>
          <w:p w14:paraId="18CC22FA">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智能系统试运行及监测，性能测试。</w:t>
            </w:r>
          </w:p>
          <w:p w14:paraId="6A66983A">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6.【智能系统交付验收】</w:t>
            </w:r>
          </w:p>
          <w:p w14:paraId="1958C53E">
            <w:pPr>
              <w:adjustRightInd w:val="0"/>
              <w:snapToGrid w:val="0"/>
              <w:spacing w:line="360" w:lineRule="auto"/>
              <w:ind w:firstLine="210" w:firstLineChars="100"/>
              <w:rPr>
                <w:rFonts w:hint="eastAsia" w:ascii="仿宋" w:hAnsi="仿宋" w:eastAsia="仿宋" w:cs="仿宋"/>
                <w:kern w:val="0"/>
                <w:sz w:val="24"/>
                <w:szCs w:val="24"/>
              </w:rPr>
            </w:pPr>
            <w:r>
              <w:rPr>
                <w:rFonts w:hint="eastAsia" w:ascii="仿宋" w:hAnsi="仿宋" w:eastAsia="仿宋" w:cs="仿宋"/>
                <w:color w:val="000000" w:themeColor="text1"/>
                <w:kern w:val="0"/>
                <w:szCs w:val="21"/>
                <w14:textFill>
                  <w14:solidFill>
                    <w14:schemeClr w14:val="tx1"/>
                  </w14:solidFill>
                </w14:textFill>
              </w:rPr>
              <w:t>智能系统上线，交付用户验收。</w:t>
            </w:r>
          </w:p>
        </w:tc>
        <w:tc>
          <w:tcPr>
            <w:tcW w:w="3593" w:type="dxa"/>
            <w:gridSpan w:val="3"/>
            <w:tcBorders>
              <w:tl2br w:val="nil"/>
              <w:tr2bl w:val="nil"/>
            </w:tcBorders>
          </w:tcPr>
          <w:p w14:paraId="4BA69F30">
            <w:pPr>
              <w:widowControl w:val="0"/>
              <w:spacing w:line="360" w:lineRule="auto"/>
              <w:ind w:firstLine="0" w:firstLineChars="0"/>
              <w:jc w:val="left"/>
              <w:rPr>
                <w:rFonts w:ascii="仿宋" w:hAnsi="仿宋" w:eastAsia="仿宋" w:cs="仿宋"/>
                <w:b/>
                <w:color w:val="000000" w:themeColor="text1"/>
                <w:kern w:val="2"/>
                <w:sz w:val="21"/>
                <w:szCs w:val="21"/>
                <w:lang w:val="en-US" w:eastAsia="zh-CN" w:bidi="ar-SA"/>
                <w14:textFill>
                  <w14:solidFill>
                    <w14:schemeClr w14:val="tx1"/>
                  </w14:solidFill>
                </w14:textFill>
              </w:rPr>
            </w:pPr>
            <w:r>
              <w:rPr>
                <w:rFonts w:hint="eastAsia" w:ascii="仿宋" w:hAnsi="仿宋" w:eastAsia="仿宋" w:cs="仿宋"/>
                <w:b/>
                <w:color w:val="000000" w:themeColor="text1"/>
                <w:kern w:val="2"/>
                <w:sz w:val="21"/>
                <w:szCs w:val="21"/>
                <w:lang w:val="en-US" w:eastAsia="zh-CN" w:bidi="ar-SA"/>
                <w14:textFill>
                  <w14:solidFill>
                    <w14:schemeClr w14:val="tx1"/>
                  </w14:solidFill>
                </w14:textFill>
              </w:rPr>
              <w:t>工具、材料、设备与资料:</w:t>
            </w:r>
          </w:p>
          <w:p w14:paraId="56D48435">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1.工具：万用表、剥线钳、螺钉旋具、剪线钳、镊子、剪线钳、防静电手套、软毛刷、软麂皮擦拭布、Excel甘特图模板、机器人管理平台软件、智能云管理系统、API应用程序接口、SDK软件开发工具包、网络环境相关指标测试工具（Speedtest.net/ping/ipref/SmokePing等）、自动化测试工具JMeter/postman等。</w:t>
            </w:r>
          </w:p>
          <w:p w14:paraId="04CED112">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2.材料：镜头清洁剂、工艺绑带、网线、连接导线、HDMI线、备用感知元件、动力元件、语料库/自定义问答库等。</w:t>
            </w:r>
          </w:p>
          <w:p w14:paraId="2884DF80">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3.设备：高性能计算机、智能导诊机器人、充电桩、AI摄像机、人工智能边缘设备（AI服务器、边缘节点、智能存算用一体机）等。</w:t>
            </w:r>
          </w:p>
          <w:p w14:paraId="5DC26D5D">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4.资料：工作任务单、设备材料清单、机器人用户手册和维护保养手册、AI摄像机和人工智能边缘设备（AI服务器、边缘节点、智能存算用一体机）产品使用手册、智能云管理平台操作指南、部署交付方案、《信息技术软件安全保障规范》（GB/T30998—2014）、《信息技术基于计算机的软件系统的性能测量与评级》（GB/T30975—2014）、《服务机器人电气安全要求及测试方法》（GB/T40013—2021）、《综合布线系统工程设计规范》（GB50311—2016）、《综合布线系统工程验收规范》（GB/T50312—2016）、企业部署交付项目管理规范等。</w:t>
            </w:r>
          </w:p>
          <w:p w14:paraId="569277A7">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工作方法：</w:t>
            </w:r>
          </w:p>
          <w:p w14:paraId="09AC6157">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获取信息的阅读法、询问法、网络法；整理信息的分类归纳、图示法；计划编制的甘特图法；充电桩、AI摄像机、人工智能边缘设备（AI服务器、边缘节点、智能存算用一体机）等硬件识别、安装与配置方法；综合布线方法；机器人管理平台的安装与功能配置方法；智能云管理平台的功能配置方法；监控平台的系统设置和功能配置方法；建图导航的场景限制与处理方法；构建地图的方法；AI功能云端发布方法；数据对接的方法；语音交互的管理与测试方法；FAQ问题集、意图设计的方</w:t>
            </w:r>
            <w:bookmarkStart w:id="0" w:name="OLE_LINK2"/>
            <w:r>
              <w:rPr>
                <w:rFonts w:hint="eastAsia" w:ascii="仿宋" w:hAnsi="仿宋" w:eastAsia="仿宋" w:cs="仿宋"/>
                <w:color w:val="000000" w:themeColor="text1"/>
                <w:kern w:val="0"/>
                <w:szCs w:val="21"/>
                <w14:textFill>
                  <w14:solidFill>
                    <w14:schemeClr w14:val="tx1"/>
                  </w14:solidFill>
                </w14:textFill>
              </w:rPr>
              <w:t>法；API</w:t>
            </w:r>
            <w:bookmarkStart w:id="1" w:name="OLE_LINK3"/>
            <w:r>
              <w:rPr>
                <w:rFonts w:hint="eastAsia" w:ascii="仿宋" w:hAnsi="仿宋" w:eastAsia="仿宋" w:cs="仿宋"/>
                <w:color w:val="000000" w:themeColor="text1"/>
                <w:kern w:val="0"/>
                <w:szCs w:val="21"/>
                <w14:textFill>
                  <w14:solidFill>
                    <w14:schemeClr w14:val="tx1"/>
                  </w14:solidFill>
                </w14:textFill>
              </w:rPr>
              <w:t>和SDK调用方法；系统功能测试、系统性能（负载测试、压力测试、容量测试、配置测试）的测试方法；交付文</w:t>
            </w:r>
            <w:bookmarkEnd w:id="1"/>
            <w:r>
              <w:rPr>
                <w:rFonts w:hint="eastAsia" w:ascii="仿宋" w:hAnsi="仿宋" w:eastAsia="仿宋" w:cs="仿宋"/>
                <w:color w:val="000000" w:themeColor="text1"/>
                <w:kern w:val="0"/>
                <w:szCs w:val="21"/>
                <w14:textFill>
                  <w14:solidFill>
                    <w14:schemeClr w14:val="tx1"/>
                  </w14:solidFill>
                </w14:textFill>
              </w:rPr>
              <w:t>档的编写方法；与人交流的讲解法、演示法。</w:t>
            </w:r>
          </w:p>
          <w:p w14:paraId="7C59EDDD">
            <w:pPr>
              <w:adjustRightInd w:val="0"/>
              <w:snapToGrid w:val="0"/>
              <w:spacing w:line="360" w:lineRule="auto"/>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劳动组织方式：</w:t>
            </w:r>
          </w:p>
          <w:bookmarkEnd w:id="0"/>
          <w:p w14:paraId="06DDF8B5">
            <w:pPr>
              <w:adjustRightInd w:val="0"/>
              <w:snapToGrid w:val="0"/>
              <w:spacing w:line="360" w:lineRule="auto"/>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以</w:t>
            </w:r>
            <w:r>
              <w:rPr>
                <w:rFonts w:hint="eastAsia" w:ascii="仿宋" w:hAnsi="仿宋" w:eastAsia="仿宋" w:cs="仿宋"/>
                <w:color w:val="000000" w:themeColor="text1"/>
                <w:kern w:val="0"/>
                <w:sz w:val="21"/>
                <w:szCs w:val="21"/>
                <w:lang w:val="en-US" w:eastAsia="zh-CN" w:bidi="ar-SA"/>
                <w14:textFill>
                  <w14:solidFill>
                    <w14:schemeClr w14:val="tx1"/>
                  </w14:solidFill>
                </w14:textFill>
              </w:rPr>
              <w:t>独立或合作的方式进行。从项目经理（或工程部主管）处领取工作任务；与客户沟通获取部署交付工作所需信息；从仓库管理员处领取材料与工具、设备；必要时与项目经理（或工程部主管）就部署交付中遇到的问题进行沟通；为客户提供系统使用培训，运行监测良好的产品交付给用户。</w:t>
            </w:r>
          </w:p>
        </w:tc>
        <w:tc>
          <w:tcPr>
            <w:tcW w:w="3549" w:type="dxa"/>
            <w:gridSpan w:val="3"/>
            <w:tcBorders>
              <w:tl2br w:val="nil"/>
              <w:tr2bl w:val="nil"/>
            </w:tcBorders>
          </w:tcPr>
          <w:p w14:paraId="37ACFD6F">
            <w:pPr>
              <w:pStyle w:val="14"/>
              <w:spacing w:line="360" w:lineRule="auto"/>
              <w:ind w:firstLine="0" w:firstLineChars="0"/>
              <w:jc w:val="left"/>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b/>
                <w:color w:val="000000" w:themeColor="text1"/>
                <w:szCs w:val="21"/>
                <w14:textFill>
                  <w14:solidFill>
                    <w14:schemeClr w14:val="tx1"/>
                  </w14:solidFill>
                </w14:textFill>
              </w:rPr>
              <w:t>工作要求</w:t>
            </w:r>
            <w:r>
              <w:rPr>
                <w:rFonts w:hint="eastAsia" w:ascii="仿宋" w:hAnsi="仿宋" w:eastAsia="仿宋" w:cs="仿宋"/>
                <w:color w:val="000000" w:themeColor="text1"/>
                <w:kern w:val="0"/>
                <w:szCs w:val="21"/>
                <w14:textFill>
                  <w14:solidFill>
                    <w14:schemeClr w14:val="tx1"/>
                  </w14:solidFill>
                </w14:textFill>
              </w:rPr>
              <w:t>：</w:t>
            </w:r>
          </w:p>
          <w:p w14:paraId="02835C7A">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1.读懂任务单，明确工作内容和工期要求；获取和记录系统部署位置、场地布局、通风情况、电源配置等现场环境布局信息，网络带宽、稳定性等网络环境信息，数据源、数据格式、数据量、数据安全等数据对接信息，要求记录清晰、明确、具体；具有较强的与人交流能力。</w:t>
            </w:r>
          </w:p>
          <w:p w14:paraId="047F5CEF">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2.明确系统软、硬件安装和配置的方法；功能测试、性能测试等相关测试方法；明确部署交付流程和交付标准；具备较强的信息处理能力。</w:t>
            </w:r>
          </w:p>
          <w:p w14:paraId="251D018A">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3.按照规定工期合理安排部署进度和人员分配，确保按时完成；合理选用工具、材料、设备。</w:t>
            </w:r>
          </w:p>
          <w:p w14:paraId="64D0C4E4">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4.正确使用相关工具和设备，按照电气、机械安全要求、综合布线工艺标准、测试方法，完成系统软、硬件安装、综合布线、系统配置和功能测试；不产生因缺陷、物料折损等造成的项目外成本；具备安全意识、质量意识、时间意识、环保意识，按6S管理规定，清理现场、归置物品；团队合作分析和解决工作中遇到的阻碍时务必耐心细致。</w:t>
            </w:r>
          </w:p>
          <w:p w14:paraId="381E5182">
            <w:pPr>
              <w:adjustRightInd w:val="0"/>
              <w:snapToGrid w:val="0"/>
              <w:spacing w:line="360" w:lineRule="auto"/>
              <w:rPr>
                <w:rFonts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5.运行监测过程中注意细节，运行、性能测试和评估记录清晰，编制的应用安装手册、使用手册等交付文档详尽、易懂、图文并茂、重点突出；工作过程中注意细节，精益求精。</w:t>
            </w:r>
          </w:p>
          <w:p w14:paraId="7C09E147">
            <w:pPr>
              <w:adjustRightInd w:val="0"/>
              <w:snapToGrid w:val="0"/>
              <w:spacing w:line="360" w:lineRule="auto"/>
              <w:ind w:firstLine="210" w:firstLineChars="100"/>
              <w:rPr>
                <w:rFonts w:hint="eastAsia"/>
                <w:lang w:eastAsia="zh-CN"/>
              </w:rPr>
            </w:pPr>
            <w:r>
              <w:rPr>
                <w:rFonts w:hint="eastAsia" w:ascii="仿宋" w:hAnsi="仿宋" w:eastAsia="仿宋" w:cs="仿宋"/>
                <w:color w:val="000000" w:themeColor="text1"/>
                <w:kern w:val="0"/>
                <w:szCs w:val="21"/>
                <w14:textFill>
                  <w14:solidFill>
                    <w14:schemeClr w14:val="tx1"/>
                  </w14:solidFill>
                </w14:textFill>
              </w:rPr>
              <w:t>6.系统上线，按照交付标准交付，满足项目范围内系统各项技术及功能参数，根据用户的需求和水平提供互动性、实用性的系统使用培训，通过用户验收。</w:t>
            </w:r>
          </w:p>
        </w:tc>
      </w:tr>
      <w:tr w14:paraId="42BA9A6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9737" w:type="dxa"/>
            <w:gridSpan w:val="8"/>
            <w:tcBorders>
              <w:tl2br w:val="nil"/>
              <w:tr2bl w:val="nil"/>
            </w:tcBorders>
            <w:vAlign w:val="center"/>
          </w:tcPr>
          <w:p w14:paraId="26341E83">
            <w:pPr>
              <w:tabs>
                <w:tab w:val="left" w:pos="3139"/>
              </w:tabs>
              <w:jc w:val="center"/>
              <w:rPr>
                <w:rFonts w:hint="eastAsia" w:ascii="仿宋" w:hAnsi="仿宋" w:eastAsia="仿宋" w:cs="仿宋"/>
                <w:bCs/>
                <w:kern w:val="0"/>
                <w:sz w:val="24"/>
                <w:szCs w:val="24"/>
              </w:rPr>
            </w:pPr>
            <w:r>
              <w:rPr>
                <w:rFonts w:hint="eastAsia" w:ascii="仿宋" w:hAnsi="仿宋" w:eastAsia="仿宋" w:cs="仿宋"/>
                <w:b/>
                <w:bCs/>
                <w:color w:val="000000"/>
                <w:kern w:val="0"/>
                <w:sz w:val="24"/>
                <w:szCs w:val="24"/>
                <w:lang w:eastAsia="zh-Hans" w:bidi="ar"/>
              </w:rPr>
              <w:t>课程</w:t>
            </w:r>
            <w:r>
              <w:rPr>
                <w:rFonts w:hint="eastAsia" w:ascii="仿宋" w:hAnsi="仿宋" w:eastAsia="仿宋" w:cs="仿宋"/>
                <w:b/>
                <w:bCs/>
                <w:color w:val="000000"/>
                <w:kern w:val="0"/>
                <w:sz w:val="24"/>
                <w:szCs w:val="24"/>
                <w:lang w:bidi="ar"/>
              </w:rPr>
              <w:t>目标</w:t>
            </w:r>
          </w:p>
        </w:tc>
      </w:tr>
      <w:tr w14:paraId="157E837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9737" w:type="dxa"/>
            <w:gridSpan w:val="8"/>
            <w:tcBorders>
              <w:tl2br w:val="nil"/>
              <w:tr2bl w:val="nil"/>
            </w:tcBorders>
            <w:vAlign w:val="center"/>
          </w:tcPr>
          <w:p w14:paraId="24307860">
            <w:pPr>
              <w:adjustRightInd w:val="0"/>
              <w:snapToGrid w:val="0"/>
              <w:spacing w:line="360" w:lineRule="auto"/>
              <w:ind w:firstLine="420" w:firstLineChars="200"/>
              <w:rPr>
                <w:rFonts w:ascii="仿宋" w:hAnsi="仿宋" w:eastAsia="仿宋" w:cs="仿宋"/>
                <w:color w:val="000000" w:themeColor="text1"/>
                <w:kern w:val="0"/>
                <w:szCs w:val="21"/>
                <w:lang w:val="en-GB"/>
                <w14:textFill>
                  <w14:solidFill>
                    <w14:schemeClr w14:val="tx1"/>
                  </w14:solidFill>
                </w14:textFill>
              </w:rPr>
            </w:pPr>
            <w:r>
              <w:rPr>
                <w:rFonts w:hint="eastAsia" w:ascii="仿宋" w:hAnsi="仿宋" w:eastAsia="仿宋" w:cs="仿宋"/>
                <w:color w:val="000000" w:themeColor="text1"/>
                <w:kern w:val="0"/>
                <w:szCs w:val="21"/>
                <w:lang w:val="en-GB"/>
                <w14:textFill>
                  <w14:solidFill>
                    <w14:schemeClr w14:val="tx1"/>
                  </w14:solidFill>
                </w14:textFill>
              </w:rPr>
              <w:t>学习完本课程后，学生能胜任满足应用场景需求的人工智能应用系统的现场部署交付工作任务，包括智能机器人应用、计算机视觉应用、智能语音应用等系统的软硬件安装、线路连接、参数配置、功能和性能测试、试运行和上线交付。严格执行作业规范、安全操作规范、企业部署交付项目管理、6S管理规定；具备较强的信息处理、与人交流、交往与合作、解决问题等通用能力，具有较强的安全意识、时间意识、质量意识、保护隐私意识、环保意识、耐心细致、精益求精等职业素养，具有诚实守信、劳动精神、工匠精神等思政素养。具体包括：</w:t>
            </w:r>
          </w:p>
          <w:p w14:paraId="7286D144">
            <w:pPr>
              <w:adjustRightInd w:val="0"/>
              <w:snapToGrid w:val="0"/>
              <w:spacing w:line="360" w:lineRule="auto"/>
              <w:ind w:firstLine="420" w:firstLineChars="200"/>
              <w:rPr>
                <w:rFonts w:ascii="仿宋" w:hAnsi="仿宋" w:eastAsia="仿宋" w:cs="仿宋"/>
                <w:color w:val="000000" w:themeColor="text1"/>
                <w:kern w:val="0"/>
                <w:szCs w:val="21"/>
                <w:lang w:val="en-GB"/>
                <w14:textFill>
                  <w14:solidFill>
                    <w14:schemeClr w14:val="tx1"/>
                  </w14:solidFill>
                </w14:textFill>
              </w:rPr>
            </w:pPr>
            <w:r>
              <w:rPr>
                <w:rFonts w:hint="eastAsia" w:ascii="仿宋" w:hAnsi="仿宋" w:eastAsia="仿宋" w:cs="仿宋"/>
                <w:color w:val="000000" w:themeColor="text1"/>
                <w:kern w:val="0"/>
                <w:szCs w:val="21"/>
                <w:lang w:val="en-GB"/>
                <w14:textFill>
                  <w14:solidFill>
                    <w14:schemeClr w14:val="tx1"/>
                  </w14:solidFill>
                </w14:textFill>
              </w:rPr>
              <w:t>1.能阅读工作任务单，并开展模拟现场勘察，与教师进行有效的专业沟通，记录系统部署的位置、场地布局、通风情况、电源配置等现场环境布局信息，网络带宽、稳定性等网络环境信息，数据源、数据格式、数据量、数据安全等数据对接信息，提取工作任务内容和要求的关键信息并向教师解析，具备较强的与人交流能力；</w:t>
            </w:r>
          </w:p>
          <w:p w14:paraId="3917081A">
            <w:pPr>
              <w:adjustRightInd w:val="0"/>
              <w:snapToGrid w:val="0"/>
              <w:spacing w:line="360" w:lineRule="auto"/>
              <w:ind w:firstLine="420" w:firstLineChars="200"/>
              <w:rPr>
                <w:rFonts w:ascii="仿宋" w:hAnsi="仿宋" w:eastAsia="仿宋" w:cs="仿宋"/>
                <w:color w:val="000000" w:themeColor="text1"/>
                <w:kern w:val="0"/>
                <w:szCs w:val="21"/>
                <w:lang w:val="en-GB"/>
                <w14:textFill>
                  <w14:solidFill>
                    <w14:schemeClr w14:val="tx1"/>
                  </w14:solidFill>
                </w14:textFill>
              </w:rPr>
            </w:pPr>
            <w:r>
              <w:rPr>
                <w:rFonts w:hint="eastAsia" w:ascii="仿宋" w:hAnsi="仿宋" w:eastAsia="仿宋" w:cs="仿宋"/>
                <w:color w:val="000000" w:themeColor="text1"/>
                <w:kern w:val="0"/>
                <w:szCs w:val="21"/>
                <w:lang w:val="en-GB"/>
                <w14:textFill>
                  <w14:solidFill>
                    <w14:schemeClr w14:val="tx1"/>
                  </w14:solidFill>
                </w14:textFill>
              </w:rPr>
              <w:t>2.能查阅机器人用户手册、AI摄像机、人工智能边缘设备（AI服务器、边缘节点、智能存算用一体机）产品使用手册、智能云管理平台操作指南、部署交付方案，梳理交付流程和交付标准，确定语音识别算法、语义分析算法、目标检测算法、视频采集参数、图像增强参数、报警阈值等系统配置关键参数，具备较强的信息处理能力。</w:t>
            </w:r>
          </w:p>
          <w:p w14:paraId="439EA496">
            <w:pPr>
              <w:adjustRightInd w:val="0"/>
              <w:snapToGrid w:val="0"/>
              <w:spacing w:line="360" w:lineRule="auto"/>
              <w:ind w:firstLine="420" w:firstLineChars="200"/>
              <w:rPr>
                <w:rFonts w:ascii="仿宋" w:hAnsi="仿宋" w:eastAsia="仿宋" w:cs="仿宋"/>
                <w:color w:val="000000" w:themeColor="text1"/>
                <w:kern w:val="0"/>
                <w:szCs w:val="21"/>
                <w:lang w:val="en-GB"/>
                <w14:textFill>
                  <w14:solidFill>
                    <w14:schemeClr w14:val="tx1"/>
                  </w14:solidFill>
                </w14:textFill>
              </w:rPr>
            </w:pPr>
            <w:r>
              <w:rPr>
                <w:rFonts w:hint="eastAsia" w:ascii="仿宋" w:hAnsi="仿宋" w:eastAsia="仿宋" w:cs="仿宋"/>
                <w:color w:val="000000" w:themeColor="text1"/>
                <w:kern w:val="0"/>
                <w:szCs w:val="21"/>
                <w:lang w:val="en-GB"/>
                <w14:textFill>
                  <w14:solidFill>
                    <w14:schemeClr w14:val="tx1"/>
                  </w14:solidFill>
                </w14:textFill>
              </w:rPr>
              <w:t>3.能制订工期安排和人员分配计划甘特图，正确识别和准备AI摄像机、人工智能边缘设备（AI服务器、边缘节点、智能存算用一体机）等设备，合理选择API和SDK等工具、语料库/自定义问答库等材料。</w:t>
            </w:r>
          </w:p>
          <w:p w14:paraId="381CF1D9">
            <w:pPr>
              <w:adjustRightInd w:val="0"/>
              <w:snapToGrid w:val="0"/>
              <w:spacing w:line="360" w:lineRule="auto"/>
              <w:ind w:firstLine="420" w:firstLineChars="200"/>
              <w:rPr>
                <w:rFonts w:ascii="仿宋" w:hAnsi="仿宋" w:eastAsia="仿宋" w:cs="仿宋"/>
                <w:color w:val="000000" w:themeColor="text1"/>
                <w:kern w:val="0"/>
                <w:szCs w:val="21"/>
                <w:lang w:val="en-GB"/>
                <w14:textFill>
                  <w14:solidFill>
                    <w14:schemeClr w14:val="tx1"/>
                  </w14:solidFill>
                </w14:textFill>
              </w:rPr>
            </w:pPr>
            <w:r>
              <w:rPr>
                <w:rFonts w:hint="eastAsia" w:ascii="仿宋" w:hAnsi="仿宋" w:eastAsia="仿宋" w:cs="仿宋"/>
                <w:color w:val="000000" w:themeColor="text1"/>
                <w:kern w:val="0"/>
                <w:szCs w:val="21"/>
                <w:lang w:val="en-GB"/>
                <w14:textFill>
                  <w14:solidFill>
                    <w14:schemeClr w14:val="tx1"/>
                  </w14:solidFill>
                </w14:textFill>
              </w:rPr>
              <w:t>4.能准备部署实施现场，严格按作业规范和综合布线工艺标准，按甘特图的进度完成智能机器人、AI摄像机、人工智能边缘设备（AI服务器、边缘节点、智能存算用一体机）等硬件设备的安装、综合布线和配置，机器人管理平台的安装与功能配置，智能云管理平台的功能配置，AI功能云端发布，API和SDK调用，语料库导入，数据对接，根据导航的场景限制和处理方法构建地图，依据设计原则和规范完成FAQ问题集和意图设计，具备安全意识、质量意识、时间意识、环保意识，遵守6S管理规定；能按应用场景需求，完成系统功能测试，注意保护隐私；团队合作分析和解决工作中遇到的阻碍时务必耐心细致。</w:t>
            </w:r>
          </w:p>
          <w:p w14:paraId="4976E620">
            <w:pPr>
              <w:adjustRightInd w:val="0"/>
              <w:snapToGrid w:val="0"/>
              <w:spacing w:line="360" w:lineRule="auto"/>
              <w:ind w:firstLine="420" w:firstLineChars="200"/>
              <w:rPr>
                <w:rFonts w:ascii="仿宋" w:hAnsi="仿宋" w:eastAsia="仿宋" w:cs="仿宋"/>
                <w:color w:val="000000" w:themeColor="text1"/>
                <w:kern w:val="0"/>
                <w:szCs w:val="21"/>
                <w:lang w:val="en-GB"/>
                <w14:textFill>
                  <w14:solidFill>
                    <w14:schemeClr w14:val="tx1"/>
                  </w14:solidFill>
                </w14:textFill>
              </w:rPr>
            </w:pPr>
            <w:r>
              <w:rPr>
                <w:rFonts w:hint="eastAsia" w:ascii="仿宋" w:hAnsi="仿宋" w:eastAsia="仿宋" w:cs="仿宋"/>
                <w:color w:val="000000" w:themeColor="text1"/>
                <w:kern w:val="0"/>
                <w:szCs w:val="21"/>
                <w:lang w:val="en-GB"/>
                <w14:textFill>
                  <w14:solidFill>
                    <w14:schemeClr w14:val="tx1"/>
                  </w14:solidFill>
                </w14:textFill>
              </w:rPr>
              <w:t>5.能监测系统试运行效果，使用自动化测试工具完成负载测试、压力测试、容量测试、配置测试，并判别系统性能的优良；能编写详尽、易懂、图文并茂、重点突出的应用安装手册、使用手册等交付文档；工作过程中注意细节，精益求精。</w:t>
            </w:r>
          </w:p>
          <w:p w14:paraId="0859D84C">
            <w:pPr>
              <w:adjustRightInd w:val="0"/>
              <w:snapToGrid w:val="0"/>
              <w:spacing w:line="360" w:lineRule="auto"/>
              <w:ind w:firstLine="210" w:firstLineChars="100"/>
              <w:rPr>
                <w:rFonts w:hint="eastAsia" w:ascii="仿宋" w:hAnsi="仿宋" w:eastAsia="仿宋" w:cs="仿宋"/>
                <w:bCs/>
                <w:kern w:val="0"/>
                <w:sz w:val="24"/>
                <w:szCs w:val="24"/>
              </w:rPr>
            </w:pPr>
            <w:r>
              <w:rPr>
                <w:rFonts w:hint="eastAsia" w:ascii="仿宋" w:hAnsi="仿宋" w:eastAsia="仿宋" w:cs="仿宋"/>
                <w:color w:val="000000" w:themeColor="text1"/>
                <w:kern w:val="0"/>
                <w:szCs w:val="21"/>
                <w:lang w:val="en-GB"/>
                <w14:textFill>
                  <w14:solidFill>
                    <w14:schemeClr w14:val="tx1"/>
                  </w14:solidFill>
                </w14:textFill>
              </w:rPr>
              <w:t>6.能将智能系统上线，按照交付标准，策划和实施系统使用培训，将运行良好的系统移交给教师，通过教师验收；总结智能系统部署交付技术要点，分析不足，提出改进措施。</w:t>
            </w:r>
          </w:p>
        </w:tc>
      </w:tr>
      <w:tr w14:paraId="514FEA4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9737" w:type="dxa"/>
            <w:gridSpan w:val="8"/>
            <w:tcBorders>
              <w:tl2br w:val="nil"/>
              <w:tr2bl w:val="nil"/>
            </w:tcBorders>
            <w:vAlign w:val="center"/>
          </w:tcPr>
          <w:p w14:paraId="75BB7EA1">
            <w:pPr>
              <w:tabs>
                <w:tab w:val="left" w:pos="3139"/>
              </w:tabs>
              <w:jc w:val="center"/>
              <w:rPr>
                <w:rFonts w:hint="eastAsia" w:ascii="仿宋" w:hAnsi="仿宋" w:eastAsia="仿宋" w:cs="仿宋"/>
                <w:kern w:val="0"/>
                <w:sz w:val="24"/>
                <w:szCs w:val="24"/>
              </w:rPr>
            </w:pPr>
            <w:r>
              <w:rPr>
                <w:rFonts w:hint="eastAsia" w:ascii="仿宋" w:hAnsi="仿宋" w:eastAsia="仿宋" w:cs="仿宋"/>
                <w:b/>
                <w:bCs/>
                <w:color w:val="000000"/>
                <w:kern w:val="0"/>
                <w:sz w:val="24"/>
                <w:szCs w:val="24"/>
                <w:lang w:bidi="ar"/>
              </w:rPr>
              <w:t>学习内容</w:t>
            </w:r>
          </w:p>
        </w:tc>
      </w:tr>
      <w:tr w14:paraId="3EBBCF4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9737" w:type="dxa"/>
            <w:gridSpan w:val="8"/>
            <w:tcBorders>
              <w:tl2br w:val="nil"/>
              <w:tr2bl w:val="nil"/>
            </w:tcBorders>
            <w:vAlign w:val="center"/>
          </w:tcPr>
          <w:p w14:paraId="1125860E">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本课程的主要学习内容包括：</w:t>
            </w:r>
          </w:p>
          <w:p w14:paraId="679490E3">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一、工作任务单的阅读分析与现场信息获取</w:t>
            </w:r>
          </w:p>
          <w:p w14:paraId="49875172">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实践知识：</w:t>
            </w:r>
          </w:p>
          <w:p w14:paraId="674C5B5A">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智能系统部署交付工作任务单的阅读；网络环境相关指标测试工具Speedtest.net/ping/ipref/SmokePing等的使用。</w:t>
            </w:r>
          </w:p>
          <w:p w14:paraId="77597CD5">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获取信息的阅读法（分析任务目标，确定重点和关键点）；询问法（通过提出引导式问题，引导对方思考和表达观点）；网络环境测试的方法。</w:t>
            </w:r>
          </w:p>
          <w:p w14:paraId="3F170239">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现场环境布局、网络环境、数据对接等关键工作信息的提取；工作任务内容和要求关键信息的解析。</w:t>
            </w:r>
          </w:p>
          <w:p w14:paraId="70BD0E82">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理论知识：</w:t>
            </w:r>
          </w:p>
          <w:p w14:paraId="1FE28E36">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目标检测、图像分类、图像分割的定义和应用场景；语音识别、语音交互、语音合成、语义解析等的定义和应用场景；服务机器人的分类；服务机器人的功能；计算机网络的性能指标；数据对接的定义；数据对接方式（API对接、数据库对接、文件对接、消息队列对接、ETL对接）。</w:t>
            </w:r>
          </w:p>
          <w:p w14:paraId="51766031">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二、交付流程和标准的确定</w:t>
            </w:r>
          </w:p>
          <w:p w14:paraId="455528F1">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实践知识：</w:t>
            </w:r>
          </w:p>
          <w:p w14:paraId="6F108A07">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机器人用户手册和维护保养手册、AI摄像机、人工智能边缘设备（AI服务器、边缘节点、智能存算用一体机）产品使用手册、智能云管理平台操作指南、部署交付方案的使用。</w:t>
            </w:r>
          </w:p>
          <w:p w14:paraId="688C1EA2">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整理信息的分类归纳法。</w:t>
            </w:r>
          </w:p>
          <w:p w14:paraId="628022DD">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交付流程和交付标准的梳理；系统配置关键参数的确定。</w:t>
            </w:r>
          </w:p>
          <w:p w14:paraId="68C65558">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理论知识：</w:t>
            </w:r>
          </w:p>
          <w:p w14:paraId="1BC501BD">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智能系统部署拓扑图；服务机器人的硬件结构、软件架构；AI摄像机性能参数的定义和作用（图像传感器尺寸和像素、分辨率、灵敏度、视频输出方式、伽马校正）；AI摄像机外部的可调节功能的定义和作用（自动增益控制、电子快门、背光补偿、自动白平衡、自动亮度控制、细节电平）；人工智能边缘设备（AI服务器、边缘节点、智能存算用一体机）等硬件相关功能参数的定义和作用；机器人管理平台、智能云管理平台功能配置参数的定义和作用。</w:t>
            </w:r>
          </w:p>
          <w:p w14:paraId="6FE0714B">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三、计划的制订和前期准备</w:t>
            </w:r>
          </w:p>
          <w:p w14:paraId="10674EF3">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实践知识：</w:t>
            </w:r>
          </w:p>
          <w:p w14:paraId="664C67C3">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部署交付设备材料清单、企业部署交付项目管理规范的使用；Excel甘特图模板的使用。</w:t>
            </w:r>
          </w:p>
          <w:p w14:paraId="1C35997B">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AI摄像机、人工智能边缘设备（AI服务器、边缘节点、智能存算用一体机）等对应型号硬件实物的识别；API应用程序接口、SDK软件开发工具包的选择；甘特图（施工进度表）的合理性判别和优化。</w:t>
            </w:r>
          </w:p>
          <w:p w14:paraId="4F4DBDE7">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理论知识：</w:t>
            </w:r>
          </w:p>
          <w:p w14:paraId="747B25ED">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API应用程序接口的定义；SDK软件开发工具包的定义。</w:t>
            </w:r>
          </w:p>
          <w:p w14:paraId="336ADB3A">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四、智能系统现场部署</w:t>
            </w:r>
          </w:p>
          <w:p w14:paraId="256909BA">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实践知识：</w:t>
            </w:r>
          </w:p>
          <w:p w14:paraId="49A6ED40">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机器人管理平台软件的使用、智能云管理系统的使用、API应用程序接口的调用、SDK软件开发工具包的调用；语料库/自定义问答库的导入或创建；智能导诊机器人的操作、AI摄像机、人工智能边缘设备（AI服务器、边缘节点、智能存算用一体机）的使用；《服务机器人 电气安全要求及测试方法》（GB/T40013—2021）中“5测试的一般条件”标准的解读；《综合布线系统工程设计规范》（GB50311—2016）和《综合布线系统工程验收规范》（GB/T50312—2016）中关于综合布线施工注意事项、线缆整理、线缆标记、系统测试等标准的解读。</w:t>
            </w:r>
          </w:p>
          <w:p w14:paraId="23E8916F">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充电桩、人工智能边缘设备（AI服务器、边缘节点、智能存算用一体机）等硬件的安装与配置；综合布线方法；机器人管理平台的安装与功能配置；智能云管理平台的功能配置；监控平台的系统设置和功能配置；建图导航的场景限制与处理方法；构建地图的方法；AI功能的云端发布方法；数据对接的方法；语音交互的管理与测试；FAQ问题集、意图设计的方法；系统功能的测试。</w:t>
            </w:r>
          </w:p>
          <w:p w14:paraId="2C20195B">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导航导览的工作流程的梳理；构建地图的注意事项和技巧的归纳；AI摄像机、人工智能边缘设备（AI服务器、边缘节点、智能存算用一体机）等硬件功能配置参数的选择和组合、硬件接口的识别；云管理平台功能配置参数的选择；提高FAQ有效性和提升客户使用便捷性技巧的归纳；意图的设计注意事项的归纳。</w:t>
            </w:r>
          </w:p>
          <w:p w14:paraId="66797D37">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理论知识：</w:t>
            </w:r>
          </w:p>
          <w:p w14:paraId="5DC599EB">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激光雷达的组成、工作原理和性能指标；结构光深度相机、ToF深度相机的工作原理；同步定位与建图（SLAM）技术的概念、应用场合和工作原理；IP摄像机信号处理过程、网络服务功能；视频信号编码压缩标准；视频图像等级；视频存储系统类型；目标检测方法的分类（传统目标检测方法：滑动窗口和图像金字塔、神经网络目标检测方法）；边缘计算的定义；端侧部署的作用；边云协同的定义和类型；云服务的基本分类（部署模式可以分为公用云、社区云、私有云和混合云四种类型）；云服务的服务模型（基础设施即服务IaaS，平台即服务PaaS，软件即服务SaaS）；语音交互方式；对话系统的组成；对话系统中知识的分类（问答型知识或知识库、任务型知识或意图及参数、闲聊型知识或语料）；FAQ问答集包含的内容（标准问题、标准答案、训练语料）；FAQ问题集的设计原则和规范；意图的组成、意图设计应遵循的原则。</w:t>
            </w:r>
          </w:p>
          <w:p w14:paraId="00AEBEA4">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五、智能系统试运行</w:t>
            </w:r>
          </w:p>
          <w:p w14:paraId="4AD44D21">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实践知识：</w:t>
            </w:r>
          </w:p>
          <w:p w14:paraId="4D9FC3A1">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自动化测试工具JMeter等的使用；《信息技术 软件安全保障规范》（GB/T30998—2014）中“5.2.2软件安全计划内容”、“6.5软件测试的安全保障分析”等的解读；《信息技术 基于计算机的软件系统的性能测量与评级》（GB/T30975—2014）中“9.性能值评级”的解读。</w:t>
            </w:r>
          </w:p>
          <w:p w14:paraId="0520D83A">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负载测试、压力测试、容量测试、配置测试等方法；交付文档的编写方法。</w:t>
            </w:r>
          </w:p>
          <w:p w14:paraId="5813C94A">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系统性能的优良判别。</w:t>
            </w:r>
          </w:p>
          <w:p w14:paraId="0A1DF9C6">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理论知识：</w:t>
            </w:r>
          </w:p>
          <w:p w14:paraId="3B03C4E5">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性能测试的概念和类型（负载测试、压力测试、容量测试、配置测试等）；系统性能指标（鲁棒性、响应速度、吞吐量、并发数等）。</w:t>
            </w:r>
          </w:p>
          <w:p w14:paraId="1AA5663A">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六、智能系统验收交付</w:t>
            </w:r>
          </w:p>
          <w:p w14:paraId="564F7B29">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实践知识：</w:t>
            </w:r>
          </w:p>
          <w:p w14:paraId="4234C7A9">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部署交付文档的使用。</w:t>
            </w:r>
          </w:p>
          <w:p w14:paraId="7DDC6A38">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与人交流的讲解法（侧重情境化讲解）和演示法。</w:t>
            </w:r>
          </w:p>
          <w:p w14:paraId="0BE3DFA8">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客户培训的策划；部署交付技术要点的总结、存在不足的分析、改进措施的提出。</w:t>
            </w:r>
          </w:p>
          <w:p w14:paraId="4007E681">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理论知识：</w:t>
            </w:r>
          </w:p>
          <w:p w14:paraId="0A22BEBB">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无。</w:t>
            </w:r>
          </w:p>
          <w:p w14:paraId="71FBB391">
            <w:pPr>
              <w:adjustRightInd w:val="0"/>
              <w:snapToGrid w:val="0"/>
              <w:spacing w:line="360" w:lineRule="auto"/>
              <w:ind w:firstLine="420" w:firstLineChars="200"/>
              <w:rPr>
                <w:rFonts w:ascii="仿宋" w:hAnsi="仿宋" w:eastAsia="仿宋" w:cs="仿宋"/>
                <w:szCs w:val="21"/>
                <w:lang w:val="en-GB"/>
              </w:rPr>
            </w:pPr>
            <w:r>
              <w:rPr>
                <w:rFonts w:hint="eastAsia" w:ascii="仿宋" w:hAnsi="仿宋" w:eastAsia="仿宋" w:cs="仿宋"/>
                <w:szCs w:val="21"/>
                <w:lang w:val="en-GB"/>
              </w:rPr>
              <w:t>七、职业素养、思政素养</w:t>
            </w:r>
          </w:p>
          <w:p w14:paraId="55454886">
            <w:pPr>
              <w:tabs>
                <w:tab w:val="left" w:pos="3139"/>
              </w:tabs>
              <w:spacing w:line="360" w:lineRule="auto"/>
              <w:ind w:firstLine="210" w:firstLineChars="100"/>
              <w:rPr>
                <w:rFonts w:hint="eastAsia" w:ascii="仿宋" w:hAnsi="仿宋" w:eastAsia="仿宋" w:cs="仿宋"/>
                <w:kern w:val="0"/>
                <w:sz w:val="24"/>
                <w:szCs w:val="24"/>
              </w:rPr>
            </w:pPr>
            <w:r>
              <w:rPr>
                <w:rFonts w:hint="eastAsia" w:ascii="仿宋" w:hAnsi="仿宋" w:eastAsia="仿宋" w:cs="仿宋"/>
                <w:szCs w:val="21"/>
                <w:lang w:val="en-GB"/>
              </w:rPr>
              <w:t>较强的信息处理、与人交流、交往与合作、解决问题能力；较强的安全意识、时间意识、质量意识、保护隐私意识、环保意识；耐心细致、精益求精等素养。</w:t>
            </w:r>
          </w:p>
        </w:tc>
      </w:tr>
      <w:tr w14:paraId="52A1E09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20" w:hRule="atLeast"/>
        </w:trPr>
        <w:tc>
          <w:tcPr>
            <w:tcW w:w="9737" w:type="dxa"/>
            <w:gridSpan w:val="8"/>
            <w:tcBorders>
              <w:tl2br w:val="nil"/>
              <w:tr2bl w:val="nil"/>
            </w:tcBorders>
            <w:vAlign w:val="center"/>
          </w:tcPr>
          <w:p w14:paraId="6E40F344">
            <w:pPr>
              <w:tabs>
                <w:tab w:val="left" w:pos="2981"/>
              </w:tabs>
              <w:jc w:val="center"/>
              <w:rPr>
                <w:rFonts w:hint="eastAsia" w:ascii="仿宋" w:hAnsi="仿宋" w:eastAsia="仿宋" w:cs="仿宋"/>
                <w:kern w:val="0"/>
                <w:sz w:val="24"/>
                <w:szCs w:val="24"/>
              </w:rPr>
            </w:pPr>
            <w:r>
              <w:rPr>
                <w:rFonts w:hint="eastAsia" w:ascii="仿宋" w:hAnsi="仿宋" w:eastAsia="仿宋" w:cs="仿宋"/>
                <w:b/>
                <w:bCs/>
                <w:kern w:val="0"/>
                <w:sz w:val="24"/>
                <w:szCs w:val="24"/>
              </w:rPr>
              <w:t>学习</w:t>
            </w:r>
            <w:r>
              <w:rPr>
                <w:rFonts w:hint="eastAsia" w:ascii="仿宋" w:hAnsi="仿宋" w:eastAsia="仿宋" w:cs="仿宋"/>
                <w:b/>
                <w:bCs/>
                <w:kern w:val="0"/>
                <w:sz w:val="24"/>
                <w:szCs w:val="24"/>
                <w:lang w:eastAsia="zh-Hans"/>
              </w:rPr>
              <w:t>任务</w:t>
            </w:r>
          </w:p>
        </w:tc>
      </w:tr>
      <w:tr w14:paraId="709EE3B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25" w:type="dxa"/>
            <w:tcBorders>
              <w:tl2br w:val="nil"/>
              <w:tr2bl w:val="nil"/>
            </w:tcBorders>
            <w:vAlign w:val="center"/>
          </w:tcPr>
          <w:p w14:paraId="4BDD57A9">
            <w:pPr>
              <w:spacing w:line="360" w:lineRule="auto"/>
              <w:jc w:val="center"/>
              <w:rPr>
                <w:rFonts w:hint="eastAsia" w:ascii="仿宋" w:hAnsi="仿宋" w:eastAsia="仿宋" w:cs="仿宋"/>
                <w:b/>
                <w:bCs/>
                <w:kern w:val="0"/>
                <w:sz w:val="24"/>
                <w:szCs w:val="24"/>
              </w:rPr>
            </w:pPr>
            <w:r>
              <w:rPr>
                <w:rFonts w:hint="eastAsia" w:ascii="仿宋" w:hAnsi="仿宋" w:eastAsia="仿宋" w:cs="仿宋"/>
                <w:b/>
                <w:bCs/>
                <w:kern w:val="0"/>
                <w:sz w:val="24"/>
                <w:szCs w:val="24"/>
              </w:rPr>
              <w:t>序号</w:t>
            </w:r>
          </w:p>
        </w:tc>
        <w:tc>
          <w:tcPr>
            <w:tcW w:w="1979" w:type="dxa"/>
            <w:gridSpan w:val="3"/>
            <w:tcBorders>
              <w:tl2br w:val="nil"/>
              <w:tr2bl w:val="nil"/>
            </w:tcBorders>
            <w:vAlign w:val="center"/>
          </w:tcPr>
          <w:p w14:paraId="1584677B">
            <w:pPr>
              <w:spacing w:line="360" w:lineRule="auto"/>
              <w:jc w:val="center"/>
              <w:rPr>
                <w:rFonts w:hint="eastAsia" w:ascii="仿宋" w:hAnsi="仿宋" w:eastAsia="仿宋" w:cs="仿宋"/>
                <w:b/>
                <w:bCs/>
                <w:kern w:val="0"/>
                <w:sz w:val="24"/>
                <w:szCs w:val="24"/>
              </w:rPr>
            </w:pPr>
            <w:r>
              <w:rPr>
                <w:rFonts w:hint="eastAsia" w:ascii="仿宋" w:hAnsi="仿宋" w:eastAsia="仿宋" w:cs="仿宋"/>
                <w:b/>
                <w:bCs/>
                <w:kern w:val="0"/>
                <w:sz w:val="24"/>
                <w:szCs w:val="24"/>
              </w:rPr>
              <w:t>学习任务名称</w:t>
            </w:r>
          </w:p>
        </w:tc>
        <w:tc>
          <w:tcPr>
            <w:tcW w:w="6017" w:type="dxa"/>
            <w:gridSpan w:val="3"/>
            <w:tcBorders>
              <w:tl2br w:val="nil"/>
              <w:tr2bl w:val="nil"/>
            </w:tcBorders>
            <w:vAlign w:val="center"/>
          </w:tcPr>
          <w:p w14:paraId="024FC421">
            <w:pPr>
              <w:spacing w:line="360" w:lineRule="auto"/>
              <w:jc w:val="center"/>
              <w:rPr>
                <w:rFonts w:hint="eastAsia" w:ascii="仿宋" w:hAnsi="仿宋" w:eastAsia="仿宋" w:cs="仿宋"/>
                <w:b/>
                <w:bCs/>
                <w:kern w:val="0"/>
                <w:sz w:val="24"/>
                <w:szCs w:val="24"/>
              </w:rPr>
            </w:pPr>
            <w:r>
              <w:rPr>
                <w:rFonts w:hint="eastAsia" w:ascii="仿宋" w:hAnsi="仿宋" w:eastAsia="仿宋" w:cs="仿宋"/>
                <w:b/>
                <w:bCs/>
                <w:kern w:val="0"/>
                <w:sz w:val="24"/>
                <w:szCs w:val="24"/>
                <w:lang w:val="en-US" w:eastAsia="zh-CN"/>
              </w:rPr>
              <w:t>学习</w:t>
            </w:r>
            <w:r>
              <w:rPr>
                <w:rFonts w:hint="eastAsia" w:ascii="仿宋" w:hAnsi="仿宋" w:eastAsia="仿宋" w:cs="仿宋"/>
                <w:b/>
                <w:bCs/>
                <w:kern w:val="0"/>
                <w:sz w:val="24"/>
                <w:szCs w:val="24"/>
              </w:rPr>
              <w:t>任务描述</w:t>
            </w:r>
          </w:p>
        </w:tc>
        <w:tc>
          <w:tcPr>
            <w:tcW w:w="916" w:type="dxa"/>
            <w:tcBorders>
              <w:tl2br w:val="nil"/>
              <w:tr2bl w:val="nil"/>
            </w:tcBorders>
            <w:vAlign w:val="center"/>
          </w:tcPr>
          <w:p w14:paraId="6150BB4C">
            <w:pPr>
              <w:spacing w:line="360" w:lineRule="auto"/>
              <w:jc w:val="center"/>
              <w:rPr>
                <w:rFonts w:hint="eastAsia" w:ascii="仿宋" w:hAnsi="仿宋" w:eastAsia="仿宋" w:cs="仿宋"/>
                <w:b/>
                <w:bCs/>
                <w:kern w:val="0"/>
                <w:sz w:val="24"/>
                <w:szCs w:val="24"/>
              </w:rPr>
            </w:pPr>
            <w:r>
              <w:rPr>
                <w:rFonts w:hint="eastAsia" w:ascii="仿宋" w:hAnsi="仿宋" w:eastAsia="仿宋" w:cs="仿宋"/>
                <w:b/>
                <w:bCs/>
                <w:kern w:val="0"/>
                <w:sz w:val="24"/>
                <w:szCs w:val="24"/>
              </w:rPr>
              <w:t>学时</w:t>
            </w:r>
          </w:p>
        </w:tc>
      </w:tr>
      <w:tr w14:paraId="121A66B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54" w:hRule="atLeast"/>
        </w:trPr>
        <w:tc>
          <w:tcPr>
            <w:tcW w:w="825" w:type="dxa"/>
            <w:tcBorders>
              <w:tl2br w:val="nil"/>
              <w:tr2bl w:val="nil"/>
            </w:tcBorders>
            <w:vAlign w:val="center"/>
          </w:tcPr>
          <w:p w14:paraId="6B951DC4">
            <w:pPr>
              <w:adjustRightInd w:val="0"/>
              <w:snapToGrid w:val="0"/>
              <w:spacing w:line="400" w:lineRule="exact"/>
              <w:jc w:val="center"/>
              <w:rPr>
                <w:rFonts w:hint="eastAsia" w:ascii="仿宋" w:hAnsi="仿宋" w:eastAsia="仿宋" w:cs="仿宋"/>
                <w:kern w:val="0"/>
                <w:sz w:val="24"/>
                <w:szCs w:val="24"/>
              </w:rPr>
            </w:pPr>
            <w:bookmarkStart w:id="2" w:name="OLE_LINK1" w:colFirst="1" w:colLast="2"/>
            <w:r>
              <w:rPr>
                <w:rFonts w:hint="eastAsia" w:ascii="仿宋" w:hAnsi="仿宋" w:eastAsia="仿宋" w:cs="仿宋"/>
                <w:szCs w:val="21"/>
              </w:rPr>
              <w:t>1</w:t>
            </w:r>
          </w:p>
        </w:tc>
        <w:tc>
          <w:tcPr>
            <w:tcW w:w="1979" w:type="dxa"/>
            <w:gridSpan w:val="3"/>
            <w:tcBorders>
              <w:tl2br w:val="nil"/>
              <w:tr2bl w:val="nil"/>
            </w:tcBorders>
            <w:vAlign w:val="center"/>
          </w:tcPr>
          <w:p w14:paraId="36EE6261">
            <w:pPr>
              <w:adjustRightInd w:val="0"/>
              <w:snapToGrid w:val="0"/>
              <w:spacing w:line="360" w:lineRule="auto"/>
              <w:jc w:val="center"/>
              <w:rPr>
                <w:rFonts w:hint="eastAsia" w:ascii="仿宋" w:hAnsi="仿宋" w:eastAsia="仿宋" w:cs="仿宋"/>
                <w:kern w:val="0"/>
                <w:sz w:val="24"/>
                <w:szCs w:val="24"/>
              </w:rPr>
            </w:pPr>
            <w:r>
              <w:rPr>
                <w:rFonts w:hint="eastAsia" w:ascii="仿宋" w:hAnsi="仿宋" w:eastAsia="仿宋" w:cs="仿宋"/>
                <w:szCs w:val="21"/>
              </w:rPr>
              <w:t>智能机器人应用系统部署交付</w:t>
            </w:r>
          </w:p>
        </w:tc>
        <w:tc>
          <w:tcPr>
            <w:tcW w:w="6017" w:type="dxa"/>
            <w:gridSpan w:val="3"/>
            <w:tcBorders>
              <w:tl2br w:val="nil"/>
              <w:tr2bl w:val="nil"/>
            </w:tcBorders>
            <w:vAlign w:val="center"/>
          </w:tcPr>
          <w:p w14:paraId="127DDEEF">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某企业为某医疗机构部署智能导诊机器人，为就医人员提供迎宾接待、预检分诊、问询服务、问路引路、宣教等服务，以帮助改善就医体验，提高医疗服务质量，现项目进入部署交付阶段，工期为5天。</w:t>
            </w:r>
          </w:p>
          <w:p w14:paraId="0ADE498A">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学生从教师处领取任务后，阅读任务单，解析工作任务内容和要求的关键信息；模拟现场勘察，与教师进行有效的专业沟通，获取和记录现场环境布局、网络环境等工作信息，提取关键点；查阅资料和手册，梳理交付流程和交付标准，确定系统配置关键参数；按照规定工期制订部署进度和人员分配计划甘特图，选择并领取工具、材料和设备；准备部署实施现场，严格按作业规范对智能机器人、充电桩、机器人管理平台等进行安装，在机器人管理平台上完成自定义页面、远距离和近距离招揽语、自定义问答库的建立、地图管理与巡逻、来访接待、问路引领、宣传教育资源导入等功能配置后上传至智能机器人进行调试；监测试运行效果，编写应用安装手册、使用手册等交付文档；策划并实施系统使用培训，将运行良好的系统移交给教师。</w:t>
            </w:r>
          </w:p>
          <w:p w14:paraId="6F419B6E">
            <w:pPr>
              <w:adjustRightInd w:val="0"/>
              <w:snapToGrid w:val="0"/>
              <w:spacing w:line="360" w:lineRule="auto"/>
              <w:ind w:firstLine="420" w:firstLineChars="200"/>
              <w:rPr>
                <w:rFonts w:hint="eastAsia" w:ascii="仿宋" w:hAnsi="仿宋" w:eastAsia="仿宋" w:cs="仿宋"/>
                <w:kern w:val="0"/>
                <w:sz w:val="24"/>
                <w:szCs w:val="24"/>
              </w:rPr>
            </w:pPr>
            <w:r>
              <w:rPr>
                <w:rFonts w:hint="eastAsia" w:ascii="仿宋" w:hAnsi="仿宋" w:eastAsia="仿宋" w:cs="仿宋"/>
                <w:szCs w:val="21"/>
              </w:rPr>
              <w:t>在工作过程中遵守《服务机器人电气安全要求及测试方法》（GB/T40013—2021）的安全操作规范、《信息技术软件安全保障规范》（GB/T30998—2014）和企业6S管理规定，工具、设备、仪表仪器等摆放整齐，防止因设备运行造成人身伤害。</w:t>
            </w:r>
          </w:p>
        </w:tc>
        <w:tc>
          <w:tcPr>
            <w:tcW w:w="916" w:type="dxa"/>
            <w:tcBorders>
              <w:tl2br w:val="nil"/>
              <w:tr2bl w:val="nil"/>
            </w:tcBorders>
            <w:vAlign w:val="center"/>
          </w:tcPr>
          <w:p w14:paraId="3A1F985A">
            <w:pPr>
              <w:spacing w:line="400" w:lineRule="exact"/>
              <w:jc w:val="center"/>
              <w:rPr>
                <w:rFonts w:hint="default" w:ascii="仿宋" w:hAnsi="仿宋" w:eastAsia="仿宋" w:cs="仿宋"/>
                <w:kern w:val="0"/>
                <w:sz w:val="24"/>
                <w:szCs w:val="24"/>
                <w:lang w:val="en-US" w:eastAsia="zh-CN"/>
              </w:rPr>
            </w:pPr>
            <w:r>
              <w:rPr>
                <w:rFonts w:hint="eastAsia" w:ascii="仿宋" w:hAnsi="仿宋" w:eastAsia="仿宋" w:cs="仿宋"/>
                <w:szCs w:val="21"/>
                <w:lang w:val="en-US" w:eastAsia="zh-CN"/>
              </w:rPr>
              <w:t>48</w:t>
            </w:r>
          </w:p>
        </w:tc>
      </w:tr>
      <w:tr w14:paraId="297BA42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898" w:hRule="atLeast"/>
        </w:trPr>
        <w:tc>
          <w:tcPr>
            <w:tcW w:w="825" w:type="dxa"/>
            <w:tcBorders>
              <w:tl2br w:val="nil"/>
              <w:tr2bl w:val="nil"/>
            </w:tcBorders>
            <w:vAlign w:val="center"/>
          </w:tcPr>
          <w:p w14:paraId="4FD5558D">
            <w:pPr>
              <w:adjustRightInd w:val="0"/>
              <w:snapToGrid w:val="0"/>
              <w:spacing w:line="400" w:lineRule="exact"/>
              <w:jc w:val="center"/>
              <w:rPr>
                <w:rFonts w:hint="eastAsia" w:ascii="仿宋" w:hAnsi="仿宋" w:eastAsia="仿宋" w:cs="仿宋"/>
                <w:kern w:val="2"/>
                <w:sz w:val="24"/>
                <w:szCs w:val="24"/>
                <w:lang w:val="en-US" w:eastAsia="zh-CN" w:bidi="ar-SA"/>
              </w:rPr>
            </w:pPr>
            <w:r>
              <w:rPr>
                <w:rFonts w:hint="eastAsia" w:ascii="仿宋" w:hAnsi="仿宋" w:eastAsia="仿宋" w:cs="仿宋"/>
                <w:sz w:val="24"/>
                <w:szCs w:val="24"/>
              </w:rPr>
              <w:t>2</w:t>
            </w:r>
          </w:p>
        </w:tc>
        <w:tc>
          <w:tcPr>
            <w:tcW w:w="1979" w:type="dxa"/>
            <w:gridSpan w:val="3"/>
            <w:tcBorders>
              <w:tl2br w:val="nil"/>
              <w:tr2bl w:val="nil"/>
            </w:tcBorders>
            <w:vAlign w:val="center"/>
          </w:tcPr>
          <w:p w14:paraId="1B6930D7">
            <w:pPr>
              <w:adjustRightInd w:val="0"/>
              <w:snapToGrid w:val="0"/>
              <w:spacing w:line="360" w:lineRule="auto"/>
              <w:jc w:val="center"/>
              <w:rPr>
                <w:rFonts w:hint="eastAsia" w:ascii="仿宋" w:hAnsi="仿宋" w:eastAsia="仿宋" w:cs="仿宋"/>
                <w:kern w:val="2"/>
                <w:sz w:val="21"/>
                <w:szCs w:val="21"/>
                <w:lang w:val="en-US" w:eastAsia="zh-CN" w:bidi="ar-SA"/>
              </w:rPr>
            </w:pPr>
            <w:r>
              <w:rPr>
                <w:rFonts w:hint="eastAsia" w:ascii="仿宋" w:hAnsi="仿宋" w:eastAsia="仿宋" w:cs="仿宋"/>
                <w:szCs w:val="21"/>
              </w:rPr>
              <w:t>计算机视觉应用系统部署交付</w:t>
            </w:r>
          </w:p>
        </w:tc>
        <w:tc>
          <w:tcPr>
            <w:tcW w:w="6017" w:type="dxa"/>
            <w:gridSpan w:val="3"/>
            <w:tcBorders>
              <w:tl2br w:val="nil"/>
              <w:tr2bl w:val="nil"/>
            </w:tcBorders>
            <w:vAlign w:val="center"/>
          </w:tcPr>
          <w:p w14:paraId="14A7A65B">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某企业为某矿业公司部署工地安全帽佩戴检测智能化安全生产风险监控系统，该系统支持对不同颜色（白色 / 黑色 / 其他颜色）安全帽、头部遮挡、弯腰低头等场景的实时检测，支持在线和离线检测方式，全面覆盖主要生产风险点，现项目进入部署交付阶段，工期为 5 天。</w:t>
            </w:r>
          </w:p>
          <w:p w14:paraId="4CBAC3D3">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学生从教师处领取任务后，阅读任务单，解析工作任务内容和要求的关键信息；模拟现场勘察，与教师进行有效的专业沟通，获取和记录现场环境布局、网络环境等工作信息，提取关键点；查阅资料和手册，梳理交付流程和交付标准，确定系统配置关键参数；按照规定工期制订部署进度和人员分配计划甘特图，选择并领取工具、材料和设备；准备部署实施现场，严格按作业规范完成人工智能边缘设备（AI摄像机、边缘节点、智能存算用一体机）等硬件的安装、布线和配置，监控平台的配置、离线服务的运行环境配置，在线服务的云端服务器配置，系统功能测试；监测系统试运行状况，测试系统性能，编写使用手册等交付文档；策划并实施系统使用培训，将运行良好的系统移交给教师。</w:t>
            </w:r>
          </w:p>
          <w:p w14:paraId="61A16885">
            <w:pPr>
              <w:adjustRightInd w:val="0"/>
              <w:snapToGrid w:val="0"/>
              <w:spacing w:line="360" w:lineRule="auto"/>
              <w:ind w:firstLine="420" w:firstLineChars="200"/>
              <w:rPr>
                <w:rFonts w:hint="eastAsia" w:ascii="仿宋" w:hAnsi="仿宋" w:eastAsia="仿宋" w:cs="仿宋"/>
                <w:kern w:val="2"/>
                <w:sz w:val="21"/>
                <w:szCs w:val="21"/>
                <w:lang w:val="en-US" w:eastAsia="zh-CN" w:bidi="ar-SA"/>
              </w:rPr>
            </w:pPr>
            <w:r>
              <w:rPr>
                <w:rFonts w:hint="eastAsia" w:ascii="仿宋" w:hAnsi="仿宋" w:eastAsia="仿宋" w:cs="仿宋"/>
                <w:szCs w:val="21"/>
              </w:rPr>
              <w:t>工作过程中遵守《信息技术软件安全保障规范》（GB/T 30998—2014）、《信息技术基于计算机的软件系统的性能测量与评级》（GB/T 30975—2014）、《综合布线系统工程设计规范》（GB 50311—2016）、《综合布线系统工程验收规范》（GB/T 50312—2016） 的规范，企业部署交付项目管理和 6S 管理规定。</w:t>
            </w:r>
          </w:p>
        </w:tc>
        <w:tc>
          <w:tcPr>
            <w:tcW w:w="916" w:type="dxa"/>
            <w:tcBorders>
              <w:tl2br w:val="nil"/>
              <w:tr2bl w:val="nil"/>
            </w:tcBorders>
            <w:vAlign w:val="center"/>
          </w:tcPr>
          <w:p w14:paraId="425F1EBF">
            <w:pPr>
              <w:spacing w:line="400" w:lineRule="exact"/>
              <w:jc w:val="center"/>
              <w:rPr>
                <w:rFonts w:hint="default" w:ascii="仿宋" w:hAnsi="仿宋" w:eastAsia="仿宋" w:cs="仿宋"/>
                <w:kern w:val="2"/>
                <w:sz w:val="21"/>
                <w:szCs w:val="21"/>
                <w:lang w:val="en-US" w:eastAsia="zh-CN" w:bidi="ar-SA"/>
              </w:rPr>
            </w:pPr>
            <w:r>
              <w:rPr>
                <w:rFonts w:hint="eastAsia" w:ascii="仿宋" w:hAnsi="仿宋" w:eastAsia="仿宋" w:cs="仿宋"/>
                <w:szCs w:val="21"/>
                <w:lang w:val="en-US" w:eastAsia="zh-CN"/>
              </w:rPr>
              <w:t>48</w:t>
            </w:r>
          </w:p>
        </w:tc>
      </w:tr>
      <w:tr w14:paraId="597F9F2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25" w:type="dxa"/>
            <w:tcBorders>
              <w:tl2br w:val="nil"/>
              <w:tr2bl w:val="nil"/>
            </w:tcBorders>
            <w:vAlign w:val="center"/>
          </w:tcPr>
          <w:p w14:paraId="54953C03">
            <w:pPr>
              <w:adjustRightInd w:val="0"/>
              <w:snapToGrid w:val="0"/>
              <w:spacing w:line="400" w:lineRule="exact"/>
              <w:jc w:val="center"/>
              <w:rPr>
                <w:rFonts w:hint="eastAsia" w:ascii="仿宋" w:hAnsi="仿宋" w:eastAsia="仿宋" w:cs="仿宋"/>
                <w:kern w:val="2"/>
                <w:sz w:val="21"/>
                <w:szCs w:val="21"/>
                <w:lang w:val="en-US" w:eastAsia="zh-CN" w:bidi="ar-SA"/>
              </w:rPr>
            </w:pPr>
            <w:r>
              <w:rPr>
                <w:rFonts w:hint="eastAsia" w:ascii="仿宋" w:hAnsi="仿宋" w:eastAsia="仿宋" w:cs="仿宋"/>
                <w:szCs w:val="21"/>
              </w:rPr>
              <w:t>3</w:t>
            </w:r>
          </w:p>
        </w:tc>
        <w:tc>
          <w:tcPr>
            <w:tcW w:w="1979" w:type="dxa"/>
            <w:gridSpan w:val="3"/>
            <w:tcBorders>
              <w:tl2br w:val="nil"/>
              <w:tr2bl w:val="nil"/>
            </w:tcBorders>
            <w:vAlign w:val="center"/>
          </w:tcPr>
          <w:p w14:paraId="2A55D091">
            <w:pPr>
              <w:adjustRightInd w:val="0"/>
              <w:snapToGrid w:val="0"/>
              <w:spacing w:line="360" w:lineRule="auto"/>
              <w:jc w:val="center"/>
              <w:rPr>
                <w:rFonts w:hint="eastAsia" w:ascii="仿宋" w:hAnsi="仿宋" w:eastAsia="仿宋" w:cs="仿宋"/>
                <w:kern w:val="2"/>
                <w:sz w:val="21"/>
                <w:szCs w:val="21"/>
                <w:lang w:val="en-US" w:eastAsia="zh-CN" w:bidi="ar-SA"/>
              </w:rPr>
            </w:pPr>
            <w:r>
              <w:rPr>
                <w:rFonts w:hint="eastAsia" w:ascii="仿宋" w:hAnsi="仿宋" w:eastAsia="仿宋" w:cs="仿宋"/>
                <w:szCs w:val="21"/>
              </w:rPr>
              <w:t>智能语音应用系统部署交付</w:t>
            </w:r>
          </w:p>
        </w:tc>
        <w:tc>
          <w:tcPr>
            <w:tcW w:w="6017" w:type="dxa"/>
            <w:gridSpan w:val="3"/>
            <w:tcBorders>
              <w:tl2br w:val="nil"/>
              <w:tr2bl w:val="nil"/>
            </w:tcBorders>
            <w:vAlign w:val="center"/>
          </w:tcPr>
          <w:p w14:paraId="433E38CF">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某企业为某楼盘开发商部署智能外呼系统，助力楼盘开盘通知、邀约看房交房工作，释放重复人力劳动，让楼盘开发商员工把时间和精力投入客户二次跟进与更复杂的需求满足上。系统基于语音识别，提供交互服务，包括线下服务接待机器人和线上语音交互机器人，需高效解决包括筛选海量意向客户，快速通知并与客户交流现场看房和开盘活动预热暖场等在内的多种业务诉求，日呼量单线2000通电话，对话准确率85%，优质客户获取率约 6%。现项目进入部署交付阶段，工期为 5 天。</w:t>
            </w:r>
          </w:p>
          <w:p w14:paraId="6204A825">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学生从教师处领取任</w:t>
            </w:r>
            <w:bookmarkStart w:id="3" w:name="_GoBack"/>
            <w:bookmarkEnd w:id="3"/>
            <w:r>
              <w:rPr>
                <w:rFonts w:hint="eastAsia" w:ascii="仿宋" w:hAnsi="仿宋" w:eastAsia="仿宋" w:cs="仿宋"/>
                <w:szCs w:val="21"/>
              </w:rPr>
              <w:t>务后，阅读任务单，解析工作任务内容和要求的关键信息；模拟现场勘察，与教师进行有效的专业沟通，获取和记录现场环境布局、网络环境等工作信息，提取关键点；查阅资料和手册，梳理交付流程和交付标准，确定系统配置关键参数；按照规定工期制订部署进度和人员分配计划甘特图，选择并领取工具、材料和设备；准备部署实施现场，严格按作业规范完成智能云管理系统的配置，语料库的录入，语义理解、多轮对话等 AI 功能发布，接口调用、调试和发布，线下服务接待机器人、充电桩、机器人管理平台的安装和配置，API 和 SDK 的在线调用；监测系统试运行状况，测试系统性能，编写使用手册等交付文档；策划并实施系统使用培训，将运行良好的系统移交给教师。</w:t>
            </w:r>
          </w:p>
          <w:p w14:paraId="345EC062">
            <w:pPr>
              <w:adjustRightInd w:val="0"/>
              <w:snapToGrid w:val="0"/>
              <w:spacing w:line="360" w:lineRule="auto"/>
              <w:ind w:firstLine="420" w:firstLineChars="200"/>
              <w:rPr>
                <w:rFonts w:hint="eastAsia" w:ascii="仿宋" w:hAnsi="仿宋" w:eastAsia="仿宋" w:cs="仿宋"/>
                <w:kern w:val="2"/>
                <w:sz w:val="21"/>
                <w:szCs w:val="21"/>
                <w:lang w:val="en-US" w:eastAsia="zh-CN" w:bidi="ar-SA"/>
              </w:rPr>
            </w:pPr>
            <w:r>
              <w:rPr>
                <w:rFonts w:hint="eastAsia" w:ascii="仿宋" w:hAnsi="仿宋" w:eastAsia="仿宋" w:cs="仿宋"/>
                <w:szCs w:val="21"/>
              </w:rPr>
              <w:t>工作过程中遵守《信息技术软件安全保障规范》（GB/T 30998—2014）、《信息技术基于计算机的软件系统的性能测量与评级》（GB/T 30975—2014），企业部署交付项目管理和 6S 管理规定。</w:t>
            </w:r>
          </w:p>
        </w:tc>
        <w:tc>
          <w:tcPr>
            <w:tcW w:w="916" w:type="dxa"/>
            <w:tcBorders>
              <w:tl2br w:val="nil"/>
              <w:tr2bl w:val="nil"/>
            </w:tcBorders>
            <w:vAlign w:val="center"/>
          </w:tcPr>
          <w:p w14:paraId="0E8DB4B1">
            <w:pPr>
              <w:spacing w:line="400" w:lineRule="exact"/>
              <w:jc w:val="center"/>
              <w:rPr>
                <w:rFonts w:hint="default" w:ascii="仿宋" w:hAnsi="仿宋" w:eastAsia="仿宋" w:cs="仿宋"/>
                <w:kern w:val="2"/>
                <w:sz w:val="21"/>
                <w:szCs w:val="21"/>
                <w:lang w:val="en-US" w:eastAsia="zh-CN" w:bidi="ar-SA"/>
              </w:rPr>
            </w:pPr>
            <w:r>
              <w:rPr>
                <w:rFonts w:hint="eastAsia" w:ascii="仿宋" w:hAnsi="仿宋" w:eastAsia="仿宋" w:cs="仿宋"/>
                <w:szCs w:val="21"/>
                <w:lang w:val="en-US" w:eastAsia="zh-CN"/>
              </w:rPr>
              <w:t>48</w:t>
            </w:r>
          </w:p>
        </w:tc>
      </w:tr>
      <w:bookmarkEnd w:id="2"/>
      <w:tr w14:paraId="0A8A4DC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9737" w:type="dxa"/>
            <w:gridSpan w:val="8"/>
            <w:tcBorders>
              <w:tl2br w:val="nil"/>
              <w:tr2bl w:val="nil"/>
            </w:tcBorders>
            <w:vAlign w:val="center"/>
          </w:tcPr>
          <w:p w14:paraId="319811A2">
            <w:pPr>
              <w:tabs>
                <w:tab w:val="left" w:pos="3139"/>
              </w:tabs>
              <w:jc w:val="center"/>
              <w:rPr>
                <w:rFonts w:hint="eastAsia" w:ascii="仿宋" w:hAnsi="仿宋" w:eastAsia="仿宋" w:cs="仿宋"/>
                <w:b/>
                <w:bCs/>
                <w:color w:val="000000"/>
                <w:kern w:val="0"/>
                <w:sz w:val="24"/>
                <w:szCs w:val="24"/>
                <w:lang w:eastAsia="zh-Hans" w:bidi="ar"/>
              </w:rPr>
            </w:pPr>
            <w:r>
              <w:rPr>
                <w:rFonts w:hint="eastAsia" w:ascii="仿宋" w:hAnsi="仿宋" w:eastAsia="仿宋" w:cs="仿宋"/>
                <w:b/>
                <w:bCs/>
                <w:color w:val="000000"/>
                <w:kern w:val="0"/>
                <w:sz w:val="24"/>
                <w:szCs w:val="24"/>
                <w:lang w:eastAsia="zh-Hans" w:bidi="ar"/>
              </w:rPr>
              <w:t>教学实施建议</w:t>
            </w:r>
          </w:p>
        </w:tc>
      </w:tr>
      <w:tr w14:paraId="7827722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634" w:hRule="atLeast"/>
        </w:trPr>
        <w:tc>
          <w:tcPr>
            <w:tcW w:w="9737" w:type="dxa"/>
            <w:gridSpan w:val="8"/>
            <w:tcBorders>
              <w:tl2br w:val="nil"/>
              <w:tr2bl w:val="nil"/>
            </w:tcBorders>
            <w:vAlign w:val="center"/>
          </w:tcPr>
          <w:p w14:paraId="1845D5C8">
            <w:pPr>
              <w:adjustRightInd w:val="0"/>
              <w:snapToGrid w:val="0"/>
              <w:spacing w:line="360" w:lineRule="auto"/>
              <w:ind w:left="420" w:leftChars="200" w:firstLine="0" w:firstLineChars="0"/>
              <w:rPr>
                <w:rFonts w:ascii="仿宋" w:hAnsi="仿宋" w:eastAsia="仿宋" w:cs="仿宋"/>
                <w:szCs w:val="21"/>
              </w:rPr>
            </w:pPr>
            <w:r>
              <w:rPr>
                <w:rFonts w:hint="eastAsia" w:ascii="仿宋" w:hAnsi="仿宋" w:eastAsia="仿宋" w:cs="仿宋"/>
                <w:szCs w:val="21"/>
              </w:rPr>
              <w:t>教学实施与建议：</w:t>
            </w:r>
            <w:r>
              <w:rPr>
                <w:rFonts w:hint="eastAsia" w:ascii="仿宋" w:hAnsi="仿宋" w:eastAsia="仿宋" w:cs="仿宋"/>
                <w:szCs w:val="21"/>
              </w:rPr>
              <w:br w:type="textWrapping"/>
            </w:r>
            <w:r>
              <w:rPr>
                <w:rFonts w:hint="eastAsia" w:ascii="仿宋" w:hAnsi="仿宋" w:eastAsia="仿宋" w:cs="仿宋"/>
                <w:szCs w:val="21"/>
              </w:rPr>
              <w:t>1.对于该课程的授课教师，应提出胜任本课程教学所需的教学能力、专业能力等方面要求。</w:t>
            </w:r>
          </w:p>
          <w:p w14:paraId="3500BF2B">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2.对于该课程的教学场地及设备，应提出配备的场地面积、设备要求、工位布置、工具材料、教学设备等建议。</w:t>
            </w:r>
          </w:p>
          <w:p w14:paraId="59ECD1A3">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3.对于该课程的教学资料，应提出所需教材、工作页、信息页、工具书、数字化资源的名称、数量、来源等建议。</w:t>
            </w:r>
          </w:p>
          <w:p w14:paraId="753B5AB6">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4.对于该课程的教学组织方式方法，应以学生为中心理念提出能培养学生职业能力与职业素养高度融合的教学组织形式和教学方法，让学生始终在行动的过程中实现学习。</w:t>
            </w:r>
          </w:p>
          <w:p w14:paraId="1B2ADB09">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（一）教学条件</w:t>
            </w:r>
          </w:p>
          <w:p w14:paraId="3D8261EE">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1. 场地：一体化教室，具备良好的安全、照明和通风条件，可分为集中教学区、方案讨论区、成果展示区，能容纳50-60名学生，提供互联网接入；</w:t>
            </w:r>
          </w:p>
          <w:p w14:paraId="3954BF09">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2. 设备：教师用台式电脑、投影仪、屏幕、音箱、学生自带笔记本电脑；</w:t>
            </w:r>
          </w:p>
          <w:p w14:paraId="1AB0D723">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3. 资料：学习任务书（工作页）、教学资源库、评价表、教材（讲义）、参考书、优秀作品范例、素材网站范例等。</w:t>
            </w:r>
          </w:p>
          <w:p w14:paraId="4927C18E">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（二）教学组织形式</w:t>
            </w:r>
          </w:p>
          <w:p w14:paraId="15394E63">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以独立或小组合作的方式进行，学生从教师（主管）处领取工作任务，与教师（主管）进行沟通，明确工作时间与要求，初稿完成后交教师（主管）审核，根据反馈意见进行修改，直至完稿。</w:t>
            </w:r>
          </w:p>
          <w:p w14:paraId="5280F1B9">
            <w:pPr>
              <w:pStyle w:val="2"/>
              <w:spacing w:after="0" w:line="360" w:lineRule="auto"/>
              <w:ind w:firstLine="640" w:firstLineChars="200"/>
              <w:rPr>
                <w:szCs w:val="21"/>
              </w:rPr>
            </w:pPr>
          </w:p>
          <w:p w14:paraId="37C6242B">
            <w:pPr>
              <w:adjustRightInd w:val="0"/>
              <w:snapToGrid w:val="0"/>
              <w:spacing w:line="360" w:lineRule="auto"/>
              <w:ind w:firstLine="422" w:firstLineChars="200"/>
              <w:rPr>
                <w:rFonts w:ascii="仿宋" w:hAnsi="仿宋" w:eastAsia="仿宋" w:cs="仿宋"/>
                <w:szCs w:val="21"/>
              </w:rPr>
            </w:pPr>
            <w:r>
              <w:rPr>
                <w:rFonts w:hint="eastAsia" w:ascii="仿宋" w:hAnsi="仿宋" w:eastAsia="仿宋" w:cs="仿宋"/>
                <w:b/>
                <w:szCs w:val="21"/>
              </w:rPr>
              <w:drawing>
                <wp:anchor distT="0" distB="0" distL="114300" distR="114300" simplePos="0" relativeHeight="251659264" behindDoc="0" locked="0" layoutInCell="1" allowOverlap="1">
                  <wp:simplePos x="0" y="0"/>
                  <wp:positionH relativeFrom="column">
                    <wp:posOffset>48895</wp:posOffset>
                  </wp:positionH>
                  <wp:positionV relativeFrom="paragraph">
                    <wp:posOffset>400685</wp:posOffset>
                  </wp:positionV>
                  <wp:extent cx="5035550" cy="673100"/>
                  <wp:effectExtent l="76200" t="0" r="50800" b="0"/>
                  <wp:wrapTopAndBottom/>
                  <wp:docPr id="1616861490" name="图示 161686149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anchor>
              </w:drawing>
            </w:r>
            <w:r>
              <w:rPr>
                <w:rFonts w:hint="eastAsia" w:ascii="仿宋" w:hAnsi="仿宋" w:eastAsia="仿宋" w:cs="仿宋"/>
                <w:szCs w:val="21"/>
              </w:rPr>
              <w:t>（三）实施过程</w:t>
            </w:r>
          </w:p>
          <w:p w14:paraId="476656EB">
            <w:pPr>
              <w:adjustRightInd w:val="0"/>
              <w:snapToGrid w:val="0"/>
              <w:spacing w:line="360" w:lineRule="auto"/>
              <w:ind w:firstLine="420" w:firstLineChars="200"/>
              <w:rPr>
                <w:rFonts w:ascii="仿宋" w:hAnsi="仿宋" w:eastAsia="仿宋" w:cs="仿宋"/>
                <w:szCs w:val="21"/>
              </w:rPr>
            </w:pPr>
          </w:p>
          <w:p w14:paraId="3C215248">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（四）教学组织</w:t>
            </w:r>
          </w:p>
          <w:p w14:paraId="655E76FC">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1.教学方法建议</w:t>
            </w:r>
          </w:p>
          <w:p w14:paraId="740791C9">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采用行动导向的教学方法。为确保教学安全，提高教学效果，建议采用集中教学、分别辅导的形式；在完成工作任务的过程中，教师须加强示范与指导，注重学生职业素养和规范操作的培养。</w:t>
            </w:r>
          </w:p>
          <w:p w14:paraId="6170CFF7">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2.教学条件基本要求</w:t>
            </w:r>
          </w:p>
          <w:p w14:paraId="3FE731FD">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课程要求在支持理论实践一体化的教室中完成，以实现“教、学、练、训”相结合，以便更好的在教学中组织、引导学生完成学习内容。</w:t>
            </w:r>
          </w:p>
          <w:p w14:paraId="23758909">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3.教学资源库基本要求</w:t>
            </w:r>
          </w:p>
          <w:p w14:paraId="6F16D4BD">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任课教师应充分发挥自身专业优势，自行制作相关符合学生课内实训要求的视频素材，配备参考书、优秀作品范例、素材网站范例。并充分利用互联网相关教学资源，完成教学任务。</w:t>
            </w:r>
          </w:p>
          <w:p w14:paraId="59EC58E2">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4.教材参考要求</w:t>
            </w:r>
          </w:p>
          <w:p w14:paraId="5B1ACA9D">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以工作页为主，配备信息页、教材、课件PPT、微课视频、案例素材、工具或技术指南、数据采集实施方案、规范/标准文件、网络在线教学资源等资料。</w:t>
            </w:r>
          </w:p>
          <w:p w14:paraId="2DDBD42F">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（五）教学建议</w:t>
            </w:r>
          </w:p>
          <w:p w14:paraId="6567DF2C">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1.教学过程中应特别关注操作规范和国家标准的应用。</w:t>
            </w:r>
          </w:p>
          <w:p w14:paraId="5CE97B7E">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2.可将学生进行分组，分别进行任务实施和工作页的填写。</w:t>
            </w:r>
          </w:p>
          <w:p w14:paraId="043368D1">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3.提供可接入互联网的工作站进行查阅资料，采用多媒体教学手段。</w:t>
            </w:r>
          </w:p>
          <w:p w14:paraId="4348DDD0">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4.教学实施过程中要注意强调安全操作的重要性。</w:t>
            </w:r>
          </w:p>
          <w:p w14:paraId="5D723DC4">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5.教学实施过程中要注重软件工具使用的规范性。</w:t>
            </w:r>
          </w:p>
          <w:p w14:paraId="02B873CE">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6.教师在授课过程中应更多地引导学生自主学习，成为学生学习的咨询者、促进者、动员者、监督者以及学习绩效的评估和改善者。</w:t>
            </w:r>
          </w:p>
          <w:p w14:paraId="793F5304">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7.要设计具有实际使用价值的工作任务，激发学生的学习兴趣。</w:t>
            </w:r>
          </w:p>
          <w:p w14:paraId="37ED8C55">
            <w:pPr>
              <w:tabs>
                <w:tab w:val="left" w:pos="3139"/>
              </w:tabs>
              <w:spacing w:line="360" w:lineRule="auto"/>
              <w:ind w:firstLine="420" w:firstLineChars="200"/>
              <w:jc w:val="left"/>
              <w:rPr>
                <w:rFonts w:hint="eastAsia" w:ascii="仿宋" w:hAnsi="仿宋" w:eastAsia="仿宋" w:cs="仿宋"/>
                <w:color w:val="000000"/>
                <w:kern w:val="0"/>
                <w:sz w:val="24"/>
                <w:szCs w:val="24"/>
                <w:lang w:eastAsia="zh-Hans" w:bidi="ar"/>
              </w:rPr>
            </w:pPr>
            <w:r>
              <w:rPr>
                <w:rFonts w:hint="eastAsia" w:ascii="仿宋" w:hAnsi="仿宋" w:eastAsia="仿宋" w:cs="仿宋"/>
                <w:szCs w:val="21"/>
              </w:rPr>
              <w:t>8.教学中教师要有效地组织和引导学生使用阅读、观摩、查阅资料、展示等各种学习手段，使其逐步养成按照咨询、计划、决策、实施、检查、评估六步法完成工作任务的习惯。</w:t>
            </w:r>
          </w:p>
        </w:tc>
      </w:tr>
      <w:tr w14:paraId="42F50DC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44" w:hRule="atLeast"/>
        </w:trPr>
        <w:tc>
          <w:tcPr>
            <w:tcW w:w="9737" w:type="dxa"/>
            <w:gridSpan w:val="8"/>
            <w:tcBorders>
              <w:tl2br w:val="nil"/>
              <w:tr2bl w:val="nil"/>
            </w:tcBorders>
            <w:vAlign w:val="center"/>
          </w:tcPr>
          <w:p w14:paraId="52F5FAD1">
            <w:pPr>
              <w:tabs>
                <w:tab w:val="left" w:pos="3139"/>
              </w:tabs>
              <w:jc w:val="center"/>
              <w:rPr>
                <w:rFonts w:hint="eastAsia" w:ascii="仿宋" w:hAnsi="仿宋" w:eastAsia="仿宋" w:cs="仿宋"/>
                <w:b/>
                <w:bCs/>
                <w:color w:val="000000"/>
                <w:kern w:val="0"/>
                <w:sz w:val="24"/>
                <w:szCs w:val="24"/>
                <w:lang w:eastAsia="zh-Hans" w:bidi="ar"/>
              </w:rPr>
            </w:pPr>
            <w:r>
              <w:rPr>
                <w:rFonts w:hint="eastAsia" w:ascii="仿宋" w:hAnsi="仿宋" w:eastAsia="仿宋" w:cs="仿宋"/>
                <w:b/>
                <w:bCs/>
                <w:color w:val="000000"/>
                <w:kern w:val="0"/>
                <w:sz w:val="24"/>
                <w:szCs w:val="24"/>
                <w:lang w:eastAsia="zh-Hans" w:bidi="ar"/>
              </w:rPr>
              <w:t>教学考核要求</w:t>
            </w:r>
          </w:p>
        </w:tc>
      </w:tr>
      <w:tr w14:paraId="5F82200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737" w:type="dxa"/>
            <w:gridSpan w:val="8"/>
            <w:tcBorders>
              <w:tl2br w:val="nil"/>
              <w:tr2bl w:val="nil"/>
            </w:tcBorders>
            <w:vAlign w:val="center"/>
          </w:tcPr>
          <w:p w14:paraId="15A4332F">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本课程考核采用过程性考核与终结性考核相结合方式，课程考核成绩=过程性考核70%+终结性考核30%。</w:t>
            </w:r>
          </w:p>
          <w:p w14:paraId="574C5F06">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1.过程性考核（70%）</w:t>
            </w:r>
          </w:p>
          <w:p w14:paraId="27E657ED">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过程性考核成绩由4个参考性学习任务考核成绩构成。其中，振动检测智能机器人安装与调试的考核成绩占比25%；行为分析监测设备安装与调试的考核成绩占比25%；生物识别门禁设备安装与调试的考核成绩占比25%；视觉检测安防监控设备安装与调试的考核成绩占比25%。</w:t>
            </w:r>
          </w:p>
          <w:p w14:paraId="4AC7E468">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上述参考性学习任务的考核应以其学习目标为依据确定考核要点，设计考核项目。考核项目可分为技能考核类、学习成果类和通用能力观察类等类别，通过细化其评分细则，分别从专业能力、通用能力等维度对学生学习情况进行考核。</w:t>
            </w:r>
          </w:p>
          <w:p w14:paraId="7192444B">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（1）技能考核类考核项目可包括工具材料的选用、主要设备的操作、安装流程的执行、安装质量的检验等关键的操作技能和心智技能。</w:t>
            </w:r>
          </w:p>
          <w:p w14:paraId="1352DB46">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（2）学习成果类考核项目涉及各学习环节产出的学习成果，可运用示意图、流程图、结构图、数据表、海报、实验报告等多种形式。</w:t>
            </w:r>
          </w:p>
          <w:p w14:paraId="6CB2C0CD">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3）通用能力观察类考核项目可包括信息处理、与人交流、交往与合作、解决问题，安全意识、时间意识、质量意识、环保意识、耐心细致、精益求精等学生学习过程中表现出来的通用能力、职业素养、思政素养。</w:t>
            </w:r>
          </w:p>
          <w:p w14:paraId="209B7767">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2.终结性考核（30%）</w:t>
            </w:r>
          </w:p>
          <w:p w14:paraId="074078DF">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终结性考核应围绕本课程目标，结合课程终结性考核要点，选择企业真实工作任务或设计学习任务进行考核。选取或设计终结性考核任务时，需体现考核任务的综合性及其实施难度。本课程各参考性学习任务间难度呈现并列关系，本终结性考核任务参照第2个学习任务的考核要求进行设计。</w:t>
            </w:r>
          </w:p>
          <w:p w14:paraId="4F69BD4E">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学生根据任务情境中的要求，查找行业相关标准和企业操作规程，明确作业流程，领取设备、工具、材料，按照作业流程和工艺要求，在规定时间内完成智能产品安装与调试，满足项目范围内系统各项技术及功能参数，通过教师验收。</w:t>
            </w:r>
          </w:p>
          <w:p w14:paraId="26903F51">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考核任务案例：行为分析监测设备安装与调试。</w:t>
            </w:r>
          </w:p>
          <w:p w14:paraId="06D9C213">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【情境描述】</w:t>
            </w:r>
          </w:p>
          <w:p w14:paraId="6AF6F67E">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某教育事业单位为了提升现代化管理水平，计划引进行为分析检测设备，在关键位置安装行为分析摄像机，部署AIOT平台及相关设备，通过行为分析摄像机实时监控教室人员的情况，一方面能够对教室人员的危险行为预警，另一方面通过AIOT设备控制教室的用电设备（如灯光调节、空调温度调节等），从而得到一个舒适的学习环境，最终完成对教室的智能化升级改造。需要进行智能行为分析摄像机、AIOT相关设备的安装与调试。工程部主管安排技术人员现场完成行为分析监测设备安装与调试，达到要求后交付工程部主管验收，完成时间24学时。</w:t>
            </w:r>
          </w:p>
          <w:p w14:paraId="1F5B2454">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【任务要求】</w:t>
            </w:r>
          </w:p>
          <w:p w14:paraId="068D7B5E">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根据任务的情境描述，在规定时间内完成智能产品安装与调试。</w:t>
            </w:r>
          </w:p>
          <w:p w14:paraId="7CC2783F">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（1）读懂工作任务单，明确工作内容、工期和要求；与教师进行有效的专业沟通，解析智能产品安装与调试的关键内容和注意事项；</w:t>
            </w:r>
          </w:p>
          <w:p w14:paraId="4B8C0471">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（2）列出安全操作规程关键点，梳理产品说明书、装配文件、工艺规范、国家标准、功能测试文件等资料的重点内容，形成表格或示意图；</w:t>
            </w:r>
          </w:p>
          <w:p w14:paraId="5593511F">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3）按时间要求合理制订安装进度计划，准备行为分析监测设备安装与调试工作任务中的电工工具、连接导线、数据线、备用感知元件、动力元件材料，摄像机、门禁面板机、AIOT平台等设备，清点并与教师确认。</w:t>
            </w:r>
          </w:p>
          <w:p w14:paraId="0F9BE596">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（4）选择AI行为摄像机的安装位置，观察与判别安装环境，正确使用万用表等工具，严格按照安全操作规程、装配流程、工艺规范，完成行为分析监测设备的安装与线路连接，掌控安装时间。</w:t>
            </w:r>
          </w:p>
          <w:p w14:paraId="6AC35E5E">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（5）完成行为分析摄像机、AIOT平台设备等智能产品单体调试，确保无机械电气安装问题，达到产品基本使用条件，通过教师验收。</w:t>
            </w:r>
          </w:p>
          <w:p w14:paraId="640822CC">
            <w:pPr>
              <w:adjustRightInd w:val="0"/>
              <w:snapToGrid w:val="0"/>
              <w:spacing w:line="360" w:lineRule="auto"/>
              <w:ind w:firstLine="420" w:firstLineChars="200"/>
              <w:rPr>
                <w:rFonts w:ascii="仿宋" w:hAnsi="仿宋" w:eastAsia="仿宋" w:cs="仿宋"/>
                <w:szCs w:val="21"/>
              </w:rPr>
            </w:pPr>
            <w:r>
              <w:rPr>
                <w:rFonts w:hint="eastAsia" w:ascii="仿宋" w:hAnsi="仿宋" w:eastAsia="仿宋" w:cs="仿宋"/>
                <w:szCs w:val="21"/>
              </w:rPr>
              <w:t>（6）清理现场，归置物品，规范填写工作记录单，总结安装调试中存在的不足和改进措施。</w:t>
            </w:r>
          </w:p>
          <w:p w14:paraId="272BE678">
            <w:pPr>
              <w:adjustRightInd w:val="0"/>
              <w:snapToGrid w:val="0"/>
              <w:spacing w:line="360" w:lineRule="auto"/>
              <w:ind w:firstLine="420" w:firstLineChars="200"/>
              <w:jc w:val="left"/>
              <w:rPr>
                <w:rFonts w:ascii="仿宋" w:hAnsi="仿宋" w:eastAsia="仿宋" w:cs="仿宋"/>
                <w:szCs w:val="21"/>
              </w:rPr>
            </w:pPr>
            <w:r>
              <w:rPr>
                <w:rFonts w:hint="eastAsia" w:ascii="仿宋" w:hAnsi="仿宋" w:eastAsia="仿宋" w:cs="仿宋"/>
                <w:szCs w:val="21"/>
              </w:rPr>
              <w:t>【参考资料】</w:t>
            </w:r>
          </w:p>
          <w:p w14:paraId="7D8179CE">
            <w:pPr>
              <w:spacing w:line="360" w:lineRule="auto"/>
              <w:ind w:firstLine="411" w:firstLineChars="196"/>
              <w:jc w:val="left"/>
              <w:rPr>
                <w:rFonts w:hint="eastAsia" w:ascii="仿宋" w:hAnsi="仿宋" w:eastAsia="仿宋" w:cs="仿宋"/>
                <w:color w:val="000000" w:themeColor="text1"/>
                <w:kern w:val="0"/>
                <w:sz w:val="24"/>
                <w:szCs w:val="24"/>
                <w14:textFill>
                  <w14:solidFill>
                    <w14:schemeClr w14:val="tx1"/>
                  </w14:solidFill>
                </w14:textFill>
              </w:rPr>
            </w:pPr>
            <w:r>
              <w:rPr>
                <w:rFonts w:hint="eastAsia" w:ascii="仿宋" w:hAnsi="仿宋" w:eastAsia="仿宋" w:cs="仿宋"/>
                <w:szCs w:val="21"/>
              </w:rPr>
              <w:t>完成上述任务时，可以使用所有常见的教学资料，如工作页、信息页、教材、课件PPT、微课视频、安全操作规程、产品说明书、装配文件、工艺规范、产品功能测试文件、规范/标准文件、网络在线教学资源等资料等。</w:t>
            </w:r>
          </w:p>
        </w:tc>
      </w:tr>
    </w:tbl>
    <w:p w14:paraId="3A6D7691"/>
    <w:p w14:paraId="0EC4BB49">
      <w:pPr>
        <w:jc w:val="left"/>
        <w:rPr>
          <w:rFonts w:ascii="宋体" w:hAnsi="宋体" w:eastAsia="宋体"/>
          <w:b/>
          <w:bCs/>
          <w:sz w:val="32"/>
          <w:szCs w:val="32"/>
        </w:rPr>
      </w:pPr>
    </w:p>
    <w:sectPr>
      <w:pgSz w:w="11906" w:h="16838"/>
      <w:pgMar w:top="1440" w:right="1083" w:bottom="1440" w:left="1083" w:header="851" w:footer="992" w:gutter="0"/>
      <w:pgBorders>
        <w:top w:val="none" w:sz="0" w:space="0"/>
        <w:left w:val="none" w:sz="0" w:space="0"/>
        <w:bottom w:val="none" w:sz="0" w:space="0"/>
        <w:right w:val="none" w:sz="0" w:space="0"/>
      </w:pgBorders>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panose1 w:val="02010609030101010101"/>
    <w:charset w:val="86"/>
    <w:family w:val="roma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Calibri">
    <w:panose1 w:val="020F0502020204030204"/>
    <w:charset w:val="01"/>
    <w:family w:val="auto"/>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U3YmE0YzllZTU5NzhkZTNiMjc5ZTA4MjdkMWIzNjIifQ=="/>
  </w:docVars>
  <w:rsids>
    <w:rsidRoot w:val="00172A27"/>
    <w:rsid w:val="000E702C"/>
    <w:rsid w:val="0050324C"/>
    <w:rsid w:val="00565389"/>
    <w:rsid w:val="0058016A"/>
    <w:rsid w:val="005E3E4E"/>
    <w:rsid w:val="00713151"/>
    <w:rsid w:val="008B4053"/>
    <w:rsid w:val="00910152"/>
    <w:rsid w:val="00A43F01"/>
    <w:rsid w:val="00C32844"/>
    <w:rsid w:val="00C7151B"/>
    <w:rsid w:val="00D81079"/>
    <w:rsid w:val="00D957E3"/>
    <w:rsid w:val="00DB6D8A"/>
    <w:rsid w:val="00EA760D"/>
    <w:rsid w:val="00F249C9"/>
    <w:rsid w:val="0583779A"/>
    <w:rsid w:val="0C2E1C89"/>
    <w:rsid w:val="0EA6217F"/>
    <w:rsid w:val="14C63F5F"/>
    <w:rsid w:val="26264154"/>
    <w:rsid w:val="2D5269EE"/>
    <w:rsid w:val="2F6A0A2C"/>
    <w:rsid w:val="2FB17F56"/>
    <w:rsid w:val="32697AA0"/>
    <w:rsid w:val="3644400D"/>
    <w:rsid w:val="3938118D"/>
    <w:rsid w:val="3DDB2DEE"/>
    <w:rsid w:val="42FE2086"/>
    <w:rsid w:val="43FD725B"/>
    <w:rsid w:val="44C352B4"/>
    <w:rsid w:val="45763B1A"/>
    <w:rsid w:val="47655843"/>
    <w:rsid w:val="4B7E6C9F"/>
    <w:rsid w:val="51613C02"/>
    <w:rsid w:val="520B4F9B"/>
    <w:rsid w:val="55C82F4A"/>
    <w:rsid w:val="5BEA0D98"/>
    <w:rsid w:val="630F6818"/>
    <w:rsid w:val="671D3982"/>
    <w:rsid w:val="693370F8"/>
    <w:rsid w:val="69752E51"/>
    <w:rsid w:val="71C25989"/>
    <w:rsid w:val="71D678CD"/>
    <w:rsid w:val="781754D1"/>
    <w:rsid w:val="781A1483"/>
    <w:rsid w:val="798058E5"/>
    <w:rsid w:val="79E620DF"/>
    <w:rsid w:val="7A2C4240"/>
    <w:rsid w:val="7EA321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8">
    <w:name w:val="Default Paragraph Font"/>
    <w:autoRedefine/>
    <w:semiHidden/>
    <w:unhideWhenUsed/>
    <w:qFormat/>
    <w:uiPriority w:val="1"/>
  </w:style>
  <w:style w:type="table" w:default="1" w:styleId="6">
    <w:name w:val="Normal Table"/>
    <w:autoRedefine/>
    <w:semiHidden/>
    <w:unhideWhenUsed/>
    <w:qFormat/>
    <w:uiPriority w:val="99"/>
    <w:tblPr>
      <w:tblCellMar>
        <w:top w:w="0" w:type="dxa"/>
        <w:left w:w="108" w:type="dxa"/>
        <w:bottom w:w="0" w:type="dxa"/>
        <w:right w:w="108" w:type="dxa"/>
      </w:tblCellMar>
    </w:tblPr>
  </w:style>
  <w:style w:type="paragraph" w:styleId="2">
    <w:name w:val="Body Text"/>
    <w:basedOn w:val="1"/>
    <w:autoRedefine/>
    <w:qFormat/>
    <w:uiPriority w:val="0"/>
    <w:pPr>
      <w:widowControl/>
      <w:spacing w:line="520" w:lineRule="exact"/>
      <w:jc w:val="left"/>
    </w:pPr>
    <w:rPr>
      <w:rFonts w:hAnsi="宋体" w:eastAsia="仿宋_GB2312" w:cs="宋体"/>
      <w:kern w:val="0"/>
      <w:sz w:val="32"/>
      <w:szCs w:val="32"/>
    </w:rPr>
  </w:style>
  <w:style w:type="paragraph" w:styleId="3">
    <w:name w:val="annotation text"/>
    <w:basedOn w:val="1"/>
    <w:autoRedefine/>
    <w:semiHidden/>
    <w:unhideWhenUsed/>
    <w:qFormat/>
    <w:uiPriority w:val="99"/>
    <w:pPr>
      <w:jc w:val="left"/>
    </w:pPr>
  </w:style>
  <w:style w:type="paragraph" w:styleId="4">
    <w:name w:val="footer"/>
    <w:basedOn w:val="1"/>
    <w:link w:val="10"/>
    <w:autoRedefine/>
    <w:unhideWhenUsed/>
    <w:qFormat/>
    <w:uiPriority w:val="99"/>
    <w:pPr>
      <w:tabs>
        <w:tab w:val="center" w:pos="4153"/>
        <w:tab w:val="right" w:pos="8306"/>
      </w:tabs>
      <w:snapToGrid w:val="0"/>
      <w:jc w:val="left"/>
    </w:pPr>
    <w:rPr>
      <w:sz w:val="18"/>
      <w:szCs w:val="18"/>
    </w:rPr>
  </w:style>
  <w:style w:type="paragraph" w:styleId="5">
    <w:name w:val="header"/>
    <w:basedOn w:val="1"/>
    <w:link w:val="9"/>
    <w:autoRedefine/>
    <w:unhideWhenUsed/>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眉 字符"/>
    <w:basedOn w:val="8"/>
    <w:link w:val="5"/>
    <w:autoRedefine/>
    <w:qFormat/>
    <w:uiPriority w:val="99"/>
    <w:rPr>
      <w:sz w:val="18"/>
      <w:szCs w:val="18"/>
    </w:rPr>
  </w:style>
  <w:style w:type="character" w:customStyle="1" w:styleId="10">
    <w:name w:val="页脚 字符"/>
    <w:basedOn w:val="8"/>
    <w:link w:val="4"/>
    <w:autoRedefine/>
    <w:qFormat/>
    <w:uiPriority w:val="99"/>
    <w:rPr>
      <w:sz w:val="18"/>
      <w:szCs w:val="18"/>
    </w:rPr>
  </w:style>
  <w:style w:type="paragraph" w:styleId="11">
    <w:name w:val="List Paragraph"/>
    <w:basedOn w:val="1"/>
    <w:autoRedefine/>
    <w:qFormat/>
    <w:uiPriority w:val="34"/>
    <w:pPr>
      <w:ind w:firstLine="420" w:firstLineChars="200"/>
    </w:pPr>
  </w:style>
  <w:style w:type="paragraph" w:customStyle="1" w:styleId="12">
    <w:name w:val="Table Text"/>
    <w:basedOn w:val="1"/>
    <w:autoRedefine/>
    <w:semiHidden/>
    <w:qFormat/>
    <w:uiPriority w:val="0"/>
    <w:rPr>
      <w:rFonts w:ascii="微软雅黑" w:hAnsi="微软雅黑" w:eastAsia="微软雅黑" w:cs="微软雅黑"/>
      <w:sz w:val="18"/>
      <w:szCs w:val="18"/>
      <w:lang w:val="en-US" w:eastAsia="en-US" w:bidi="ar-SA"/>
    </w:rPr>
  </w:style>
  <w:style w:type="table" w:customStyle="1" w:styleId="13">
    <w:name w:val="Table Normal"/>
    <w:autoRedefine/>
    <w:semiHidden/>
    <w:unhideWhenUsed/>
    <w:qFormat/>
    <w:uiPriority w:val="0"/>
    <w:tblPr>
      <w:tblCellMar>
        <w:top w:w="0" w:type="dxa"/>
        <w:left w:w="0" w:type="dxa"/>
        <w:bottom w:w="0" w:type="dxa"/>
        <w:right w:w="0" w:type="dxa"/>
      </w:tblCellMar>
    </w:tblPr>
  </w:style>
  <w:style w:type="paragraph" w:customStyle="1" w:styleId="14">
    <w:name w:val="列出段落1"/>
    <w:basedOn w:val="1"/>
    <w:unhideWhenUsed/>
    <w:qFormat/>
    <w:uiPriority w:val="34"/>
    <w:pPr>
      <w:ind w:firstLine="420" w:firstLineChars="200"/>
    </w:pPr>
  </w:style>
</w:styles>
</file>

<file path=word/_rels/document.xml.rels><?xml version="1.0" encoding="UTF-8" standalone="yes"?>
<Relationships xmlns="http://schemas.openxmlformats.org/package/2006/relationships"><Relationship Id="rId9" Type="http://schemas.microsoft.com/office/2007/relationships/diagramDrawing" Target="diagrams/drawing1.xml"/><Relationship Id="rId8" Type="http://schemas.openxmlformats.org/officeDocument/2006/relationships/diagramColors" Target="diagrams/colors1.xml"/><Relationship Id="rId7" Type="http://schemas.openxmlformats.org/officeDocument/2006/relationships/diagramQuickStyle" Target="diagrams/quickStyle1.xml"/><Relationship Id="rId6" Type="http://schemas.openxmlformats.org/officeDocument/2006/relationships/diagramLayout" Target="diagrams/layout1.xml"/><Relationship Id="rId5" Type="http://schemas.openxmlformats.org/officeDocument/2006/relationships/diagramData" Target="diagrams/data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50433DFB-F892-4F03-A1CF-D1AE45411C0C}" type="doc">
      <dgm:prSet loTypeId="urn:microsoft.com/office/officeart/2005/8/layout/process1" loCatId="process" qsTypeId="urn:microsoft.com/office/officeart/2005/8/quickstyle/simple5#1" qsCatId="simple" csTypeId="urn:microsoft.com/office/officeart/2005/8/colors/accent1_2#1" csCatId="accent1" phldr="1"/>
      <dgm:spPr/>
    </dgm:pt>
    <dgm:pt modelId="{BD6FC900-E983-4683-B8B2-97BDC4B119FB}">
      <dgm:prSet phldrT="[文本]" custT="1"/>
      <dgm:spPr>
        <a:xfrm>
          <a:off x="2667" y="403951"/>
          <a:ext cx="826850" cy="496110"/>
        </a:xfr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p>
          <a:r>
            <a:rPr lang="zh-CN" altLang="en-US" sz="1100">
              <a:solidFill>
                <a:schemeClr val="tx1"/>
              </a:solidFill>
              <a:latin typeface="Calibri" panose="020F0502020204030204"/>
              <a:ea typeface="宋体" panose="02010600030101010101" charset="-122"/>
              <a:cs typeface="+mn-cs"/>
            </a:rPr>
            <a:t>接收任务</a:t>
          </a:r>
        </a:p>
      </dgm:t>
    </dgm:pt>
    <dgm:pt modelId="{66C32B03-6C16-4AAE-8F6C-B3618A238A34}" cxnId="{29314092-F7FD-41C0-B56D-071FB1D55DCE}" type="parTrans">
      <dgm:prSet/>
      <dgm:spPr/>
      <dgm:t>
        <a:bodyPr/>
        <a:p>
          <a:endParaRPr lang="zh-CN" altLang="en-US"/>
        </a:p>
      </dgm:t>
    </dgm:pt>
    <dgm:pt modelId="{7BA23102-3A6A-43B1-B2D8-BB009C3396A8}" cxnId="{29314092-F7FD-41C0-B56D-071FB1D55DCE}" type="sibTrans">
      <dgm:prSet/>
      <dgm:spPr>
        <a:xfrm>
          <a:off x="912202" y="549477"/>
          <a:ext cx="175292" cy="205058"/>
        </a:xfrm>
        <a:gradFill rotWithShape="0">
          <a:gsLst>
            <a:gs pos="0">
              <a:srgbClr val="4F81BD">
                <a:tint val="60000"/>
                <a:hueOff val="0"/>
                <a:satOff val="0"/>
                <a:lumOff val="0"/>
                <a:alphaOff val="0"/>
                <a:shade val="51000"/>
                <a:satMod val="130000"/>
              </a:srgbClr>
            </a:gs>
            <a:gs pos="80000">
              <a:srgbClr val="4F81BD">
                <a:tint val="60000"/>
                <a:hueOff val="0"/>
                <a:satOff val="0"/>
                <a:lumOff val="0"/>
                <a:alphaOff val="0"/>
                <a:shade val="93000"/>
                <a:satMod val="130000"/>
              </a:srgbClr>
            </a:gs>
            <a:gs pos="100000">
              <a:srgbClr val="4F81BD">
                <a:tint val="60000"/>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p>
          <a:endParaRPr lang="zh-CN" altLang="en-US">
            <a:solidFill>
              <a:sysClr val="window" lastClr="FFFFFF"/>
            </a:solidFill>
            <a:latin typeface="Calibri" panose="020F0502020204030204"/>
            <a:ea typeface="宋体" panose="02010600030101010101" charset="-122"/>
            <a:cs typeface="+mn-cs"/>
          </a:endParaRPr>
        </a:p>
      </dgm:t>
    </dgm:pt>
    <dgm:pt modelId="{4D12A015-EB41-4C53-A094-1C0719523400}">
      <dgm:prSet phldrT="[文本]" custT="1"/>
      <dgm:spPr>
        <a:xfrm>
          <a:off x="1160257" y="403951"/>
          <a:ext cx="826850" cy="496110"/>
        </a:xfr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p>
          <a:r>
            <a:rPr lang="zh-CN" altLang="en-US" sz="1100">
              <a:solidFill>
                <a:schemeClr val="tx1"/>
              </a:solidFill>
              <a:latin typeface="Calibri" panose="020F0502020204030204"/>
              <a:ea typeface="宋体" panose="02010600030101010101" charset="-122"/>
              <a:cs typeface="+mn-cs"/>
            </a:rPr>
            <a:t>分析任务</a:t>
          </a:r>
        </a:p>
      </dgm:t>
    </dgm:pt>
    <dgm:pt modelId="{C3DD8AA2-4858-4EFF-B6CF-B2EC6728988A}" cxnId="{46C454D6-D187-4FDA-ADC4-A8CA20B446D4}" type="parTrans">
      <dgm:prSet/>
      <dgm:spPr/>
      <dgm:t>
        <a:bodyPr/>
        <a:p>
          <a:endParaRPr lang="zh-CN" altLang="en-US"/>
        </a:p>
      </dgm:t>
    </dgm:pt>
    <dgm:pt modelId="{DBF92573-4750-44C7-BF25-7BC6ECD4B08D}" cxnId="{46C454D6-D187-4FDA-ADC4-A8CA20B446D4}" type="sibTrans">
      <dgm:prSet/>
      <dgm:spPr>
        <a:xfrm>
          <a:off x="2069792" y="549477"/>
          <a:ext cx="175292" cy="205058"/>
        </a:xfrm>
        <a:gradFill rotWithShape="0">
          <a:gsLst>
            <a:gs pos="0">
              <a:srgbClr val="4F81BD">
                <a:tint val="60000"/>
                <a:hueOff val="0"/>
                <a:satOff val="0"/>
                <a:lumOff val="0"/>
                <a:alphaOff val="0"/>
                <a:shade val="51000"/>
                <a:satMod val="130000"/>
              </a:srgbClr>
            </a:gs>
            <a:gs pos="80000">
              <a:srgbClr val="4F81BD">
                <a:tint val="60000"/>
                <a:hueOff val="0"/>
                <a:satOff val="0"/>
                <a:lumOff val="0"/>
                <a:alphaOff val="0"/>
                <a:shade val="93000"/>
                <a:satMod val="130000"/>
              </a:srgbClr>
            </a:gs>
            <a:gs pos="100000">
              <a:srgbClr val="4F81BD">
                <a:tint val="60000"/>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p>
          <a:endParaRPr lang="zh-CN" altLang="en-US">
            <a:solidFill>
              <a:sysClr val="window" lastClr="FFFFFF"/>
            </a:solidFill>
            <a:latin typeface="Calibri" panose="020F0502020204030204"/>
            <a:ea typeface="宋体" panose="02010600030101010101" charset="-122"/>
            <a:cs typeface="+mn-cs"/>
          </a:endParaRPr>
        </a:p>
      </dgm:t>
    </dgm:pt>
    <dgm:pt modelId="{15B141ED-E8F2-4083-9884-B2DD57FFDDBD}">
      <dgm:prSet phldrT="[文本]" custT="1"/>
      <dgm:spPr>
        <a:xfrm>
          <a:off x="2317847" y="403951"/>
          <a:ext cx="826850" cy="496110"/>
        </a:xfr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p>
          <a:r>
            <a:rPr lang="zh-CN" altLang="en-US" sz="1100">
              <a:solidFill>
                <a:schemeClr val="tx1"/>
              </a:solidFill>
              <a:latin typeface="Calibri" panose="020F0502020204030204"/>
              <a:ea typeface="宋体" panose="02010600030101010101" charset="-122"/>
              <a:cs typeface="+mn-cs"/>
            </a:rPr>
            <a:t>准备资料</a:t>
          </a:r>
        </a:p>
      </dgm:t>
    </dgm:pt>
    <dgm:pt modelId="{00081A39-FAA3-4A9E-BD03-5CFB67FAC17B}" cxnId="{18CB4475-57B2-4739-8DCC-3BE1241DB7F9}" type="parTrans">
      <dgm:prSet/>
      <dgm:spPr/>
      <dgm:t>
        <a:bodyPr/>
        <a:p>
          <a:endParaRPr lang="zh-CN" altLang="en-US"/>
        </a:p>
      </dgm:t>
    </dgm:pt>
    <dgm:pt modelId="{183EC767-09BD-45D8-AAAB-DF86C0EAE02D}" cxnId="{18CB4475-57B2-4739-8DCC-3BE1241DB7F9}" type="sibTrans">
      <dgm:prSet/>
      <dgm:spPr>
        <a:xfrm>
          <a:off x="3227383" y="549477"/>
          <a:ext cx="175292" cy="205058"/>
        </a:xfrm>
        <a:gradFill rotWithShape="0">
          <a:gsLst>
            <a:gs pos="0">
              <a:srgbClr val="4F81BD">
                <a:tint val="60000"/>
                <a:hueOff val="0"/>
                <a:satOff val="0"/>
                <a:lumOff val="0"/>
                <a:alphaOff val="0"/>
                <a:shade val="51000"/>
                <a:satMod val="130000"/>
              </a:srgbClr>
            </a:gs>
            <a:gs pos="80000">
              <a:srgbClr val="4F81BD">
                <a:tint val="60000"/>
                <a:hueOff val="0"/>
                <a:satOff val="0"/>
                <a:lumOff val="0"/>
                <a:alphaOff val="0"/>
                <a:shade val="93000"/>
                <a:satMod val="130000"/>
              </a:srgbClr>
            </a:gs>
            <a:gs pos="100000">
              <a:srgbClr val="4F81BD">
                <a:tint val="60000"/>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p>
          <a:endParaRPr lang="zh-CN" altLang="en-US">
            <a:solidFill>
              <a:sysClr val="window" lastClr="FFFFFF"/>
            </a:solidFill>
            <a:latin typeface="Calibri" panose="020F0502020204030204"/>
            <a:ea typeface="宋体" panose="02010600030101010101" charset="-122"/>
            <a:cs typeface="+mn-cs"/>
          </a:endParaRPr>
        </a:p>
      </dgm:t>
    </dgm:pt>
    <dgm:pt modelId="{FC2533A6-4C1F-431F-8544-7331E87A8586}">
      <dgm:prSet custT="1"/>
      <dgm:spPr>
        <a:xfrm>
          <a:off x="4633028" y="403951"/>
          <a:ext cx="826850" cy="496110"/>
        </a:xfr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p>
          <a:r>
            <a:rPr lang="zh-CN" altLang="en-US" sz="1100">
              <a:solidFill>
                <a:schemeClr val="tx1"/>
              </a:solidFill>
              <a:latin typeface="Calibri" panose="020F0502020204030204"/>
              <a:ea typeface="宋体" panose="02010600030101010101" charset="-122"/>
              <a:cs typeface="+mn-cs"/>
            </a:rPr>
            <a:t>任务实施</a:t>
          </a:r>
        </a:p>
      </dgm:t>
    </dgm:pt>
    <dgm:pt modelId="{93B2F278-1CAE-453A-AB6A-B7C213EC4E94}" cxnId="{9E6E705C-F81C-429C-93E4-B456390433C6}" type="parTrans">
      <dgm:prSet/>
      <dgm:spPr/>
      <dgm:t>
        <a:bodyPr/>
        <a:p>
          <a:endParaRPr lang="zh-CN" altLang="en-US"/>
        </a:p>
      </dgm:t>
    </dgm:pt>
    <dgm:pt modelId="{3BE163FF-2E27-426F-A1A7-874D97E8A07E}" cxnId="{9E6E705C-F81C-429C-93E4-B456390433C6}" type="sibTrans">
      <dgm:prSet/>
      <dgm:spPr/>
      <dgm:t>
        <a:bodyPr/>
        <a:p>
          <a:endParaRPr lang="zh-CN" altLang="en-US"/>
        </a:p>
      </dgm:t>
    </dgm:pt>
    <dgm:pt modelId="{5D82EF26-1245-499D-B71C-0510C45A379B}">
      <dgm:prSet custT="1"/>
      <dgm:spPr/>
      <dgm:t>
        <a:bodyPr/>
        <a:p>
          <a:r>
            <a:rPr lang="zh-CN" altLang="en-US" sz="1100">
              <a:solidFill>
                <a:schemeClr val="tx1"/>
              </a:solidFill>
            </a:rPr>
            <a:t>完稿归档</a:t>
          </a:r>
        </a:p>
      </dgm:t>
    </dgm:pt>
    <dgm:pt modelId="{25DB39A7-E68C-4E2B-B165-299AA971C50C}" cxnId="{2CA943F2-634B-4E58-A8FD-36D967FDE090}" type="parTrans">
      <dgm:prSet/>
      <dgm:spPr/>
      <dgm:t>
        <a:bodyPr/>
        <a:p>
          <a:endParaRPr lang="zh-CN" altLang="en-US"/>
        </a:p>
      </dgm:t>
    </dgm:pt>
    <dgm:pt modelId="{ADB84E07-767D-4A41-A060-2B25EC4AE681}" cxnId="{2CA943F2-634B-4E58-A8FD-36D967FDE090}" type="sibTrans">
      <dgm:prSet/>
      <dgm:spPr/>
      <dgm:t>
        <a:bodyPr/>
        <a:p>
          <a:endParaRPr lang="zh-CN" altLang="en-US"/>
        </a:p>
      </dgm:t>
    </dgm:pt>
    <dgm:pt modelId="{F38CD69D-75AD-4BDB-B93E-536D4CD55FD0}">
      <dgm:prSet custT="1"/>
      <dgm:spPr>
        <a:xfrm>
          <a:off x="4633028" y="403951"/>
          <a:ext cx="826850" cy="496110"/>
        </a:xfr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gm:spPr>
      <dgm:t>
        <a:bodyPr/>
        <a:p>
          <a:r>
            <a:rPr lang="zh-CN" altLang="en-US" sz="1100">
              <a:solidFill>
                <a:schemeClr val="tx1"/>
              </a:solidFill>
            </a:rPr>
            <a:t>总结反馈</a:t>
          </a:r>
          <a:endParaRPr lang="zh-CN" altLang="en-US" sz="1100">
            <a:solidFill>
              <a:schemeClr val="tx1"/>
            </a:solidFill>
            <a:latin typeface="Calibri" panose="020F0502020204030204"/>
            <a:ea typeface="宋体" panose="02010600030101010101" charset="-122"/>
            <a:cs typeface="+mn-cs"/>
          </a:endParaRPr>
        </a:p>
      </dgm:t>
    </dgm:pt>
    <dgm:pt modelId="{34AF8480-C245-4A64-AE9F-EEBBE08DE8FE}" cxnId="{9EF18191-5BF1-4538-A089-53072A7928E8}" type="parTrans">
      <dgm:prSet/>
      <dgm:spPr/>
      <dgm:t>
        <a:bodyPr/>
        <a:p>
          <a:endParaRPr lang="zh-CN" altLang="en-US"/>
        </a:p>
      </dgm:t>
    </dgm:pt>
    <dgm:pt modelId="{D486DEF5-C2AB-4965-A229-03249827E3D2}" cxnId="{9EF18191-5BF1-4538-A089-53072A7928E8}" type="sibTrans">
      <dgm:prSet/>
      <dgm:spPr/>
      <dgm:t>
        <a:bodyPr/>
        <a:p>
          <a:endParaRPr lang="zh-CN" altLang="en-US"/>
        </a:p>
      </dgm:t>
    </dgm:pt>
    <dgm:pt modelId="{93C0EFFF-59F6-4F79-BA95-1DD352CE78DB}" type="pres">
      <dgm:prSet presAssocID="{50433DFB-F892-4F03-A1CF-D1AE45411C0C}" presName="Name0" presStyleCnt="0">
        <dgm:presLayoutVars>
          <dgm:dir/>
          <dgm:resizeHandles val="exact"/>
        </dgm:presLayoutVars>
      </dgm:prSet>
      <dgm:spPr/>
    </dgm:pt>
    <dgm:pt modelId="{8CB0ABE6-DFDD-4931-8B87-E410F95C8DDB}" type="pres">
      <dgm:prSet presAssocID="{BD6FC900-E983-4683-B8B2-97BDC4B119FB}" presName="node" presStyleLbl="node1" presStyleIdx="0" presStyleCnt="6">
        <dgm:presLayoutVars>
          <dgm:bulletEnabled val="1"/>
        </dgm:presLayoutVars>
      </dgm:prSet>
      <dgm:spPr>
        <a:prstGeom prst="roundRect">
          <a:avLst>
            <a:gd name="adj" fmla="val 10000"/>
          </a:avLst>
        </a:prstGeom>
      </dgm:spPr>
    </dgm:pt>
    <dgm:pt modelId="{23802BC9-7CD5-4405-898E-C0FA4C143CD1}" type="pres">
      <dgm:prSet presAssocID="{7BA23102-3A6A-43B1-B2D8-BB009C3396A8}" presName="sibTrans" presStyleLbl="sibTrans2D1" presStyleIdx="0" presStyleCnt="5"/>
      <dgm:spPr>
        <a:prstGeom prst="rightArrow">
          <a:avLst>
            <a:gd name="adj1" fmla="val 60000"/>
            <a:gd name="adj2" fmla="val 50000"/>
          </a:avLst>
        </a:prstGeom>
      </dgm:spPr>
    </dgm:pt>
    <dgm:pt modelId="{D05A69CD-0C7B-4336-8BB7-58458B670998}" type="pres">
      <dgm:prSet presAssocID="{7BA23102-3A6A-43B1-B2D8-BB009C3396A8}" presName="connectorText" presStyleLbl="sibTrans2D1" presStyleIdx="0" presStyleCnt="5"/>
      <dgm:spPr/>
    </dgm:pt>
    <dgm:pt modelId="{DDEF4379-AA7C-4145-8A17-AC7914D2F600}" type="pres">
      <dgm:prSet presAssocID="{4D12A015-EB41-4C53-A094-1C0719523400}" presName="node" presStyleLbl="node1" presStyleIdx="1" presStyleCnt="6">
        <dgm:presLayoutVars>
          <dgm:bulletEnabled val="1"/>
        </dgm:presLayoutVars>
      </dgm:prSet>
      <dgm:spPr>
        <a:prstGeom prst="roundRect">
          <a:avLst>
            <a:gd name="adj" fmla="val 10000"/>
          </a:avLst>
        </a:prstGeom>
      </dgm:spPr>
    </dgm:pt>
    <dgm:pt modelId="{49F81E65-B70B-4457-814B-8ADDFB559BF0}" type="pres">
      <dgm:prSet presAssocID="{DBF92573-4750-44C7-BF25-7BC6ECD4B08D}" presName="sibTrans" presStyleLbl="sibTrans2D1" presStyleIdx="1" presStyleCnt="5"/>
      <dgm:spPr>
        <a:prstGeom prst="rightArrow">
          <a:avLst>
            <a:gd name="adj1" fmla="val 60000"/>
            <a:gd name="adj2" fmla="val 50000"/>
          </a:avLst>
        </a:prstGeom>
      </dgm:spPr>
    </dgm:pt>
    <dgm:pt modelId="{312E11EE-4771-4717-A738-2888A09B1E34}" type="pres">
      <dgm:prSet presAssocID="{DBF92573-4750-44C7-BF25-7BC6ECD4B08D}" presName="connectorText" presStyleLbl="sibTrans2D1" presStyleIdx="1" presStyleCnt="5"/>
      <dgm:spPr/>
    </dgm:pt>
    <dgm:pt modelId="{AD717295-A820-4FDF-A089-D3F4D0FCCCA6}" type="pres">
      <dgm:prSet presAssocID="{15B141ED-E8F2-4083-9884-B2DD57FFDDBD}" presName="node" presStyleLbl="node1" presStyleIdx="2" presStyleCnt="6">
        <dgm:presLayoutVars>
          <dgm:bulletEnabled val="1"/>
        </dgm:presLayoutVars>
      </dgm:prSet>
      <dgm:spPr>
        <a:prstGeom prst="roundRect">
          <a:avLst>
            <a:gd name="adj" fmla="val 10000"/>
          </a:avLst>
        </a:prstGeom>
      </dgm:spPr>
    </dgm:pt>
    <dgm:pt modelId="{61E9F66E-ADDC-4612-B5D3-B09CAD1A33A6}" type="pres">
      <dgm:prSet presAssocID="{183EC767-09BD-45D8-AAAB-DF86C0EAE02D}" presName="sibTrans" presStyleLbl="sibTrans2D1" presStyleIdx="2" presStyleCnt="5"/>
      <dgm:spPr>
        <a:prstGeom prst="rightArrow">
          <a:avLst>
            <a:gd name="adj1" fmla="val 60000"/>
            <a:gd name="adj2" fmla="val 50000"/>
          </a:avLst>
        </a:prstGeom>
      </dgm:spPr>
    </dgm:pt>
    <dgm:pt modelId="{1DFF3DC1-10B5-4A94-9D85-D4FE49E0FFED}" type="pres">
      <dgm:prSet presAssocID="{183EC767-09BD-45D8-AAAB-DF86C0EAE02D}" presName="connectorText" presStyleLbl="sibTrans2D1" presStyleIdx="2" presStyleCnt="5"/>
      <dgm:spPr/>
    </dgm:pt>
    <dgm:pt modelId="{4E83E1E9-9DE6-40E2-88A7-073891C0BEDB}" type="pres">
      <dgm:prSet presAssocID="{FC2533A6-4C1F-431F-8544-7331E87A8586}" presName="node" presStyleLbl="node1" presStyleIdx="3" presStyleCnt="6">
        <dgm:presLayoutVars>
          <dgm:bulletEnabled val="1"/>
        </dgm:presLayoutVars>
      </dgm:prSet>
      <dgm:spPr>
        <a:prstGeom prst="roundRect">
          <a:avLst>
            <a:gd name="adj" fmla="val 10000"/>
          </a:avLst>
        </a:prstGeom>
      </dgm:spPr>
    </dgm:pt>
    <dgm:pt modelId="{A7535D6A-6598-40DA-8296-37B551E66802}" type="pres">
      <dgm:prSet presAssocID="{3BE163FF-2E27-426F-A1A7-874D97E8A07E}" presName="sibTrans" presStyleLbl="sibTrans2D1" presStyleIdx="3" presStyleCnt="5" custScaleX="81275" custScaleY="101261"/>
      <dgm:spPr/>
    </dgm:pt>
    <dgm:pt modelId="{15BF942A-057D-4DAE-BE98-CDDE33B4B869}" type="pres">
      <dgm:prSet presAssocID="{3BE163FF-2E27-426F-A1A7-874D97E8A07E}" presName="connectorText" presStyleLbl="sibTrans2D1" presStyleIdx="3" presStyleCnt="5"/>
      <dgm:spPr/>
    </dgm:pt>
    <dgm:pt modelId="{95D4BB7A-BE29-476A-A975-6100FD7AADAE}" type="pres">
      <dgm:prSet presAssocID="{F38CD69D-75AD-4BDB-B93E-536D4CD55FD0}" presName="node" presStyleLbl="node1" presStyleIdx="4" presStyleCnt="6">
        <dgm:presLayoutVars>
          <dgm:bulletEnabled val="1"/>
        </dgm:presLayoutVars>
      </dgm:prSet>
      <dgm:spPr/>
    </dgm:pt>
    <dgm:pt modelId="{8ADDF32C-9EC2-4C2F-85D5-0610C43BA7AB}" type="pres">
      <dgm:prSet presAssocID="{D486DEF5-C2AB-4965-A229-03249827E3D2}" presName="sibTrans" presStyleLbl="sibTrans2D1" presStyleIdx="4" presStyleCnt="5"/>
      <dgm:spPr/>
    </dgm:pt>
    <dgm:pt modelId="{9A5CD7B8-D433-4332-85CA-B28EF758D996}" type="pres">
      <dgm:prSet presAssocID="{D486DEF5-C2AB-4965-A229-03249827E3D2}" presName="connectorText" presStyleLbl="sibTrans2D1" presStyleIdx="4" presStyleCnt="5"/>
      <dgm:spPr/>
    </dgm:pt>
    <dgm:pt modelId="{63F115E9-0678-4A89-8FB1-EF14EB72BB20}" type="pres">
      <dgm:prSet presAssocID="{5D82EF26-1245-499D-B71C-0510C45A379B}" presName="node" presStyleLbl="node1" presStyleIdx="5" presStyleCnt="6">
        <dgm:presLayoutVars>
          <dgm:bulletEnabled val="1"/>
        </dgm:presLayoutVars>
      </dgm:prSet>
      <dgm:spPr/>
    </dgm:pt>
  </dgm:ptLst>
  <dgm:cxnLst>
    <dgm:cxn modelId="{BD1F0D02-FD13-4CE7-9D29-5576DB7F62B5}" type="presOf" srcId="{DBF92573-4750-44C7-BF25-7BC6ECD4B08D}" destId="{49F81E65-B70B-4457-814B-8ADDFB559BF0}" srcOrd="0" destOrd="0" presId="urn:microsoft.com/office/officeart/2005/8/layout/process1"/>
    <dgm:cxn modelId="{5A923F0E-39E7-4718-8816-ED1E4A24FA40}" type="presOf" srcId="{FC2533A6-4C1F-431F-8544-7331E87A8586}" destId="{4E83E1E9-9DE6-40E2-88A7-073891C0BEDB}" srcOrd="0" destOrd="0" presId="urn:microsoft.com/office/officeart/2005/8/layout/process1"/>
    <dgm:cxn modelId="{9D04112A-A9A0-4A6B-A60E-62F626991752}" type="presOf" srcId="{183EC767-09BD-45D8-AAAB-DF86C0EAE02D}" destId="{1DFF3DC1-10B5-4A94-9D85-D4FE49E0FFED}" srcOrd="1" destOrd="0" presId="urn:microsoft.com/office/officeart/2005/8/layout/process1"/>
    <dgm:cxn modelId="{ACC6275B-239B-4512-BBCF-B1AF4758202C}" type="presOf" srcId="{D486DEF5-C2AB-4965-A229-03249827E3D2}" destId="{9A5CD7B8-D433-4332-85CA-B28EF758D996}" srcOrd="1" destOrd="0" presId="urn:microsoft.com/office/officeart/2005/8/layout/process1"/>
    <dgm:cxn modelId="{9E6E705C-F81C-429C-93E4-B456390433C6}" srcId="{50433DFB-F892-4F03-A1CF-D1AE45411C0C}" destId="{FC2533A6-4C1F-431F-8544-7331E87A8586}" srcOrd="3" destOrd="0" parTransId="{93B2F278-1CAE-453A-AB6A-B7C213EC4E94}" sibTransId="{3BE163FF-2E27-426F-A1A7-874D97E8A07E}"/>
    <dgm:cxn modelId="{5B063B6D-AE17-4A5D-B3B5-76DF25D774F3}" type="presOf" srcId="{15B141ED-E8F2-4083-9884-B2DD57FFDDBD}" destId="{AD717295-A820-4FDF-A089-D3F4D0FCCCA6}" srcOrd="0" destOrd="0" presId="urn:microsoft.com/office/officeart/2005/8/layout/process1"/>
    <dgm:cxn modelId="{18CB4475-57B2-4739-8DCC-3BE1241DB7F9}" srcId="{50433DFB-F892-4F03-A1CF-D1AE45411C0C}" destId="{15B141ED-E8F2-4083-9884-B2DD57FFDDBD}" srcOrd="2" destOrd="0" parTransId="{00081A39-FAA3-4A9E-BD03-5CFB67FAC17B}" sibTransId="{183EC767-09BD-45D8-AAAB-DF86C0EAE02D}"/>
    <dgm:cxn modelId="{A8CD4684-17E4-4C3B-8911-F5C784347951}" type="presOf" srcId="{5D82EF26-1245-499D-B71C-0510C45A379B}" destId="{63F115E9-0678-4A89-8FB1-EF14EB72BB20}" srcOrd="0" destOrd="0" presId="urn:microsoft.com/office/officeart/2005/8/layout/process1"/>
    <dgm:cxn modelId="{C3C98A87-0583-4CBD-A622-6C43BA458734}" type="presOf" srcId="{183EC767-09BD-45D8-AAAB-DF86C0EAE02D}" destId="{61E9F66E-ADDC-4612-B5D3-B09CAD1A33A6}" srcOrd="0" destOrd="0" presId="urn:microsoft.com/office/officeart/2005/8/layout/process1"/>
    <dgm:cxn modelId="{9EF18191-5BF1-4538-A089-53072A7928E8}" srcId="{50433DFB-F892-4F03-A1CF-D1AE45411C0C}" destId="{F38CD69D-75AD-4BDB-B93E-536D4CD55FD0}" srcOrd="4" destOrd="0" parTransId="{34AF8480-C245-4A64-AE9F-EEBBE08DE8FE}" sibTransId="{D486DEF5-C2AB-4965-A229-03249827E3D2}"/>
    <dgm:cxn modelId="{29314092-F7FD-41C0-B56D-071FB1D55DCE}" srcId="{50433DFB-F892-4F03-A1CF-D1AE45411C0C}" destId="{BD6FC900-E983-4683-B8B2-97BDC4B119FB}" srcOrd="0" destOrd="0" parTransId="{66C32B03-6C16-4AAE-8F6C-B3618A238A34}" sibTransId="{7BA23102-3A6A-43B1-B2D8-BB009C3396A8}"/>
    <dgm:cxn modelId="{5E8A2E97-17AA-4DD8-BDF4-D2BE8810EFF7}" type="presOf" srcId="{4D12A015-EB41-4C53-A094-1C0719523400}" destId="{DDEF4379-AA7C-4145-8A17-AC7914D2F600}" srcOrd="0" destOrd="0" presId="urn:microsoft.com/office/officeart/2005/8/layout/process1"/>
    <dgm:cxn modelId="{62FFC4B8-F4BE-4F01-8FFA-3E854AB17E4B}" type="presOf" srcId="{F38CD69D-75AD-4BDB-B93E-536D4CD55FD0}" destId="{95D4BB7A-BE29-476A-A975-6100FD7AADAE}" srcOrd="0" destOrd="0" presId="urn:microsoft.com/office/officeart/2005/8/layout/process1"/>
    <dgm:cxn modelId="{20F0D5B8-508E-43F2-AE3F-4A696991F645}" type="presOf" srcId="{DBF92573-4750-44C7-BF25-7BC6ECD4B08D}" destId="{312E11EE-4771-4717-A738-2888A09B1E34}" srcOrd="1" destOrd="0" presId="urn:microsoft.com/office/officeart/2005/8/layout/process1"/>
    <dgm:cxn modelId="{6F3B27C3-AA87-489C-845C-DEF83EF48CAE}" type="presOf" srcId="{3BE163FF-2E27-426F-A1A7-874D97E8A07E}" destId="{15BF942A-057D-4DAE-BE98-CDDE33B4B869}" srcOrd="1" destOrd="0" presId="urn:microsoft.com/office/officeart/2005/8/layout/process1"/>
    <dgm:cxn modelId="{046C21C8-2D3F-4D1F-AF78-599B9AF22DFD}" type="presOf" srcId="{7BA23102-3A6A-43B1-B2D8-BB009C3396A8}" destId="{23802BC9-7CD5-4405-898E-C0FA4C143CD1}" srcOrd="0" destOrd="0" presId="urn:microsoft.com/office/officeart/2005/8/layout/process1"/>
    <dgm:cxn modelId="{46C454D6-D187-4FDA-ADC4-A8CA20B446D4}" srcId="{50433DFB-F892-4F03-A1CF-D1AE45411C0C}" destId="{4D12A015-EB41-4C53-A094-1C0719523400}" srcOrd="1" destOrd="0" parTransId="{C3DD8AA2-4858-4EFF-B6CF-B2EC6728988A}" sibTransId="{DBF92573-4750-44C7-BF25-7BC6ECD4B08D}"/>
    <dgm:cxn modelId="{3784F0E7-27FB-45FE-9DB8-4DABCD2A06A0}" type="presOf" srcId="{3BE163FF-2E27-426F-A1A7-874D97E8A07E}" destId="{A7535D6A-6598-40DA-8296-37B551E66802}" srcOrd="0" destOrd="0" presId="urn:microsoft.com/office/officeart/2005/8/layout/process1"/>
    <dgm:cxn modelId="{4A34A3EE-1AF8-4CE1-B5AF-231A632C8CDB}" type="presOf" srcId="{7BA23102-3A6A-43B1-B2D8-BB009C3396A8}" destId="{D05A69CD-0C7B-4336-8BB7-58458B670998}" srcOrd="1" destOrd="0" presId="urn:microsoft.com/office/officeart/2005/8/layout/process1"/>
    <dgm:cxn modelId="{2CA943F2-634B-4E58-A8FD-36D967FDE090}" srcId="{50433DFB-F892-4F03-A1CF-D1AE45411C0C}" destId="{5D82EF26-1245-499D-B71C-0510C45A379B}" srcOrd="5" destOrd="0" parTransId="{25DB39A7-E68C-4E2B-B165-299AA971C50C}" sibTransId="{ADB84E07-767D-4A41-A060-2B25EC4AE681}"/>
    <dgm:cxn modelId="{BEDDF9F5-7771-4F64-A08C-D48D55BEA831}" type="presOf" srcId="{50433DFB-F892-4F03-A1CF-D1AE45411C0C}" destId="{93C0EFFF-59F6-4F79-BA95-1DD352CE78DB}" srcOrd="0" destOrd="0" presId="urn:microsoft.com/office/officeart/2005/8/layout/process1"/>
    <dgm:cxn modelId="{5439CCF9-D2EE-410A-AAC5-D54BEE2A1207}" type="presOf" srcId="{BD6FC900-E983-4683-B8B2-97BDC4B119FB}" destId="{8CB0ABE6-DFDD-4931-8B87-E410F95C8DDB}" srcOrd="0" destOrd="0" presId="urn:microsoft.com/office/officeart/2005/8/layout/process1"/>
    <dgm:cxn modelId="{81C9E6FE-993F-43E9-BCF9-EF5CAF7D4B93}" type="presOf" srcId="{D486DEF5-C2AB-4965-A229-03249827E3D2}" destId="{8ADDF32C-9EC2-4C2F-85D5-0610C43BA7AB}" srcOrd="0" destOrd="0" presId="urn:microsoft.com/office/officeart/2005/8/layout/process1"/>
    <dgm:cxn modelId="{EDD87761-D7BA-4968-9D10-E5BB58771D5C}" type="presParOf" srcId="{93C0EFFF-59F6-4F79-BA95-1DD352CE78DB}" destId="{8CB0ABE6-DFDD-4931-8B87-E410F95C8DDB}" srcOrd="0" destOrd="0" presId="urn:microsoft.com/office/officeart/2005/8/layout/process1"/>
    <dgm:cxn modelId="{A424B09D-B13D-428F-A2EC-0164C5929560}" type="presParOf" srcId="{93C0EFFF-59F6-4F79-BA95-1DD352CE78DB}" destId="{23802BC9-7CD5-4405-898E-C0FA4C143CD1}" srcOrd="1" destOrd="0" presId="urn:microsoft.com/office/officeart/2005/8/layout/process1"/>
    <dgm:cxn modelId="{6810F6B5-833D-414B-BC85-3230CAA07BCE}" type="presParOf" srcId="{23802BC9-7CD5-4405-898E-C0FA4C143CD1}" destId="{D05A69CD-0C7B-4336-8BB7-58458B670998}" srcOrd="0" destOrd="0" presId="urn:microsoft.com/office/officeart/2005/8/layout/process1"/>
    <dgm:cxn modelId="{ED647A82-8E52-4BE2-A2FC-B50A01690B1A}" type="presParOf" srcId="{93C0EFFF-59F6-4F79-BA95-1DD352CE78DB}" destId="{DDEF4379-AA7C-4145-8A17-AC7914D2F600}" srcOrd="2" destOrd="0" presId="urn:microsoft.com/office/officeart/2005/8/layout/process1"/>
    <dgm:cxn modelId="{C235C146-1CC5-43FF-AA5A-AB72BB3F38EA}" type="presParOf" srcId="{93C0EFFF-59F6-4F79-BA95-1DD352CE78DB}" destId="{49F81E65-B70B-4457-814B-8ADDFB559BF0}" srcOrd="3" destOrd="0" presId="urn:microsoft.com/office/officeart/2005/8/layout/process1"/>
    <dgm:cxn modelId="{445C81A4-3CEA-4D4E-B962-3B54C80C2BF7}" type="presParOf" srcId="{49F81E65-B70B-4457-814B-8ADDFB559BF0}" destId="{312E11EE-4771-4717-A738-2888A09B1E34}" srcOrd="0" destOrd="0" presId="urn:microsoft.com/office/officeart/2005/8/layout/process1"/>
    <dgm:cxn modelId="{072EF8E9-EF20-4854-892F-583EBEEE9906}" type="presParOf" srcId="{93C0EFFF-59F6-4F79-BA95-1DD352CE78DB}" destId="{AD717295-A820-4FDF-A089-D3F4D0FCCCA6}" srcOrd="4" destOrd="0" presId="urn:microsoft.com/office/officeart/2005/8/layout/process1"/>
    <dgm:cxn modelId="{E5C7FDCA-F44F-4257-9C5E-40CB5A26D562}" type="presParOf" srcId="{93C0EFFF-59F6-4F79-BA95-1DD352CE78DB}" destId="{61E9F66E-ADDC-4612-B5D3-B09CAD1A33A6}" srcOrd="5" destOrd="0" presId="urn:microsoft.com/office/officeart/2005/8/layout/process1"/>
    <dgm:cxn modelId="{F2F59726-E333-4D9E-BA55-8BC6B3C530E4}" type="presParOf" srcId="{61E9F66E-ADDC-4612-B5D3-B09CAD1A33A6}" destId="{1DFF3DC1-10B5-4A94-9D85-D4FE49E0FFED}" srcOrd="0" destOrd="0" presId="urn:microsoft.com/office/officeart/2005/8/layout/process1"/>
    <dgm:cxn modelId="{30927EB9-8793-4733-AF3E-50A167DD1F71}" type="presParOf" srcId="{93C0EFFF-59F6-4F79-BA95-1DD352CE78DB}" destId="{4E83E1E9-9DE6-40E2-88A7-073891C0BEDB}" srcOrd="6" destOrd="0" presId="urn:microsoft.com/office/officeart/2005/8/layout/process1"/>
    <dgm:cxn modelId="{D61B0175-9E9E-4E80-8AB0-4DA6A2724D42}" type="presParOf" srcId="{93C0EFFF-59F6-4F79-BA95-1DD352CE78DB}" destId="{A7535D6A-6598-40DA-8296-37B551E66802}" srcOrd="7" destOrd="0" presId="urn:microsoft.com/office/officeart/2005/8/layout/process1"/>
    <dgm:cxn modelId="{040DC821-85AB-4912-B60B-31952111345B}" type="presParOf" srcId="{A7535D6A-6598-40DA-8296-37B551E66802}" destId="{15BF942A-057D-4DAE-BE98-CDDE33B4B869}" srcOrd="0" destOrd="0" presId="urn:microsoft.com/office/officeart/2005/8/layout/process1"/>
    <dgm:cxn modelId="{E851DCFA-9681-47AB-877C-CF3BA393BBBB}" type="presParOf" srcId="{93C0EFFF-59F6-4F79-BA95-1DD352CE78DB}" destId="{95D4BB7A-BE29-476A-A975-6100FD7AADAE}" srcOrd="8" destOrd="0" presId="urn:microsoft.com/office/officeart/2005/8/layout/process1"/>
    <dgm:cxn modelId="{2957DBEE-DE26-44CF-A12A-72C8F5CCB145}" type="presParOf" srcId="{93C0EFFF-59F6-4F79-BA95-1DD352CE78DB}" destId="{8ADDF32C-9EC2-4C2F-85D5-0610C43BA7AB}" srcOrd="9" destOrd="0" presId="urn:microsoft.com/office/officeart/2005/8/layout/process1"/>
    <dgm:cxn modelId="{B682D05E-B8DF-491E-9ECC-EDA69C8518E8}" type="presParOf" srcId="{8ADDF32C-9EC2-4C2F-85D5-0610C43BA7AB}" destId="{9A5CD7B8-D433-4332-85CA-B28EF758D996}" srcOrd="0" destOrd="0" presId="urn:microsoft.com/office/officeart/2005/8/layout/process1"/>
    <dgm:cxn modelId="{64F54FB7-6A20-475F-BBBC-D281DAAF5383}" type="presParOf" srcId="{93C0EFFF-59F6-4F79-BA95-1DD352CE78DB}" destId="{63F115E9-0678-4A89-8FB1-EF14EB72BB20}" srcOrd="10" destOrd="0" presId="urn:microsoft.com/office/officeart/2005/8/layout/process1"/>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组合 1"/>
      <dsp:cNvGrpSpPr/>
    </dsp:nvGrpSpPr>
    <dsp:grpSpPr>
      <a:xfrm>
        <a:off x="0" y="0"/>
        <a:ext cx="5035550" cy="673100"/>
        <a:chOff x="0" y="0"/>
        <a:chExt cx="5035550" cy="673100"/>
      </a:xfrm>
    </dsp:grpSpPr>
    <dsp:sp modelId="{8CB0ABE6-DFDD-4931-8B87-E410F95C8DDB}">
      <dsp:nvSpPr>
        <dsp:cNvPr id="3" name="圆角矩形 2"/>
        <dsp:cNvSpPr/>
      </dsp:nvSpPr>
      <dsp:spPr bwMode="white">
        <a:xfrm>
          <a:off x="0" y="147717"/>
          <a:ext cx="629444" cy="377666"/>
        </a:xfrm>
        <a:prstGeom prst="roundRect">
          <a:avLst>
            <a:gd name="adj" fmla="val 10000"/>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hemeClr val="lt1"/>
        </a:lnRef>
        <a:fillRef idx="3">
          <a:schemeClr val="accent1"/>
        </a:fillRef>
        <a:effectRef idx="3">
          <a:scrgbClr r="0" g="0" b="0"/>
        </a:effectRef>
        <a:fontRef idx="minor">
          <a:schemeClr val="lt1"/>
        </a:fontRef>
      </dsp:style>
      <dsp:txBody>
        <a:bodyPr lIns="41910" tIns="41910" rIns="41910" bIns="4191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100">
              <a:solidFill>
                <a:schemeClr val="tx1"/>
              </a:solidFill>
              <a:latin typeface="Calibri" panose="020F0502020204030204"/>
              <a:ea typeface="宋体" panose="02010600030101010101" charset="-122"/>
              <a:cs typeface="+mn-cs"/>
            </a:rPr>
            <a:t>接收任务</a:t>
          </a:r>
        </a:p>
      </dsp:txBody>
      <dsp:txXfrm>
        <a:off x="0" y="147717"/>
        <a:ext cx="629444" cy="377666"/>
      </dsp:txXfrm>
    </dsp:sp>
    <dsp:sp modelId="{23802BC9-7CD5-4405-898E-C0FA4C143CD1}">
      <dsp:nvSpPr>
        <dsp:cNvPr id="4" name="右箭头 3"/>
        <dsp:cNvSpPr/>
      </dsp:nvSpPr>
      <dsp:spPr bwMode="white">
        <a:xfrm>
          <a:off x="688611" y="258499"/>
          <a:ext cx="133442" cy="156102"/>
        </a:xfrm>
        <a:prstGeom prst="rightArrow">
          <a:avLst>
            <a:gd name="adj1" fmla="val 60000"/>
            <a:gd name="adj2" fmla="val 50000"/>
          </a:avLst>
        </a:prstGeom>
        <a:gradFill rotWithShape="0">
          <a:gsLst>
            <a:gs pos="0">
              <a:srgbClr val="4F81BD">
                <a:tint val="60000"/>
                <a:hueOff val="0"/>
                <a:satOff val="0"/>
                <a:lumOff val="0"/>
                <a:alphaOff val="0"/>
                <a:shade val="51000"/>
                <a:satMod val="130000"/>
              </a:srgbClr>
            </a:gs>
            <a:gs pos="80000">
              <a:srgbClr val="4F81BD">
                <a:tint val="60000"/>
                <a:hueOff val="0"/>
                <a:satOff val="0"/>
                <a:lumOff val="0"/>
                <a:alphaOff val="0"/>
                <a:shade val="93000"/>
                <a:satMod val="130000"/>
              </a:srgbClr>
            </a:gs>
            <a:gs pos="100000">
              <a:srgbClr val="4F81BD">
                <a:tint val="60000"/>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hemeClr val="accent1">
            <a:tint val="60000"/>
          </a:schemeClr>
        </a:lnRef>
        <a:fillRef idx="3">
          <a:schemeClr val="accent1">
            <a:tint val="60000"/>
          </a:schemeClr>
        </a:fillRef>
        <a:effectRef idx="3">
          <a:scrgbClr r="0" g="0" b="0"/>
        </a:effectRef>
        <a:fontRef idx="minor">
          <a:schemeClr val="lt1"/>
        </a:fontRef>
      </dsp:style>
      <dsp:txBody>
        <a:bodyPr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solidFill>
              <a:sysClr val="window" lastClr="FFFFFF"/>
            </a:solidFill>
            <a:latin typeface="Calibri" panose="020F0502020204030204"/>
            <a:ea typeface="宋体" panose="02010600030101010101" charset="-122"/>
            <a:cs typeface="+mn-cs"/>
          </a:endParaRPr>
        </a:p>
      </dsp:txBody>
      <dsp:txXfrm>
        <a:off x="688611" y="258499"/>
        <a:ext cx="133442" cy="156102"/>
      </dsp:txXfrm>
    </dsp:sp>
    <dsp:sp modelId="{DDEF4379-AA7C-4145-8A17-AC7914D2F600}">
      <dsp:nvSpPr>
        <dsp:cNvPr id="5" name="圆角矩形 4"/>
        <dsp:cNvSpPr/>
      </dsp:nvSpPr>
      <dsp:spPr bwMode="white">
        <a:xfrm>
          <a:off x="881221" y="147717"/>
          <a:ext cx="629444" cy="377666"/>
        </a:xfrm>
        <a:prstGeom prst="roundRect">
          <a:avLst>
            <a:gd name="adj" fmla="val 10000"/>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hemeClr val="lt1"/>
        </a:lnRef>
        <a:fillRef idx="3">
          <a:schemeClr val="accent1"/>
        </a:fillRef>
        <a:effectRef idx="3">
          <a:scrgbClr r="0" g="0" b="0"/>
        </a:effectRef>
        <a:fontRef idx="minor">
          <a:schemeClr val="lt1"/>
        </a:fontRef>
      </dsp:style>
      <dsp:txBody>
        <a:bodyPr lIns="41910" tIns="41910" rIns="41910" bIns="4191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100">
              <a:solidFill>
                <a:schemeClr val="tx1"/>
              </a:solidFill>
              <a:latin typeface="Calibri" panose="020F0502020204030204"/>
              <a:ea typeface="宋体" panose="02010600030101010101" charset="-122"/>
              <a:cs typeface="+mn-cs"/>
            </a:rPr>
            <a:t>分析任务</a:t>
          </a:r>
        </a:p>
      </dsp:txBody>
      <dsp:txXfrm>
        <a:off x="881221" y="147717"/>
        <a:ext cx="629444" cy="377666"/>
      </dsp:txXfrm>
    </dsp:sp>
    <dsp:sp modelId="{49F81E65-B70B-4457-814B-8ADDFB559BF0}">
      <dsp:nvSpPr>
        <dsp:cNvPr id="6" name="右箭头 5"/>
        <dsp:cNvSpPr/>
      </dsp:nvSpPr>
      <dsp:spPr bwMode="white">
        <a:xfrm>
          <a:off x="1569833" y="258499"/>
          <a:ext cx="133442" cy="156102"/>
        </a:xfrm>
        <a:prstGeom prst="rightArrow">
          <a:avLst>
            <a:gd name="adj1" fmla="val 60000"/>
            <a:gd name="adj2" fmla="val 50000"/>
          </a:avLst>
        </a:prstGeom>
        <a:gradFill rotWithShape="0">
          <a:gsLst>
            <a:gs pos="0">
              <a:srgbClr val="4F81BD">
                <a:tint val="60000"/>
                <a:hueOff val="0"/>
                <a:satOff val="0"/>
                <a:lumOff val="0"/>
                <a:alphaOff val="0"/>
                <a:shade val="51000"/>
                <a:satMod val="130000"/>
              </a:srgbClr>
            </a:gs>
            <a:gs pos="80000">
              <a:srgbClr val="4F81BD">
                <a:tint val="60000"/>
                <a:hueOff val="0"/>
                <a:satOff val="0"/>
                <a:lumOff val="0"/>
                <a:alphaOff val="0"/>
                <a:shade val="93000"/>
                <a:satMod val="130000"/>
              </a:srgbClr>
            </a:gs>
            <a:gs pos="100000">
              <a:srgbClr val="4F81BD">
                <a:tint val="60000"/>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hemeClr val="accent1">
            <a:tint val="60000"/>
          </a:schemeClr>
        </a:lnRef>
        <a:fillRef idx="3">
          <a:schemeClr val="accent1">
            <a:tint val="60000"/>
          </a:schemeClr>
        </a:fillRef>
        <a:effectRef idx="3">
          <a:scrgbClr r="0" g="0" b="0"/>
        </a:effectRef>
        <a:fontRef idx="minor">
          <a:schemeClr val="lt1"/>
        </a:fontRef>
      </dsp:style>
      <dsp:txBody>
        <a:bodyPr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solidFill>
              <a:sysClr val="window" lastClr="FFFFFF"/>
            </a:solidFill>
            <a:latin typeface="Calibri" panose="020F0502020204030204"/>
            <a:ea typeface="宋体" panose="02010600030101010101" charset="-122"/>
            <a:cs typeface="+mn-cs"/>
          </a:endParaRPr>
        </a:p>
      </dsp:txBody>
      <dsp:txXfrm>
        <a:off x="1569833" y="258499"/>
        <a:ext cx="133442" cy="156102"/>
      </dsp:txXfrm>
    </dsp:sp>
    <dsp:sp modelId="{AD717295-A820-4FDF-A089-D3F4D0FCCCA6}">
      <dsp:nvSpPr>
        <dsp:cNvPr id="7" name="圆角矩形 6"/>
        <dsp:cNvSpPr/>
      </dsp:nvSpPr>
      <dsp:spPr bwMode="white">
        <a:xfrm>
          <a:off x="1762443" y="147717"/>
          <a:ext cx="629444" cy="377666"/>
        </a:xfrm>
        <a:prstGeom prst="roundRect">
          <a:avLst>
            <a:gd name="adj" fmla="val 10000"/>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hemeClr val="lt1"/>
        </a:lnRef>
        <a:fillRef idx="3">
          <a:schemeClr val="accent1"/>
        </a:fillRef>
        <a:effectRef idx="3">
          <a:scrgbClr r="0" g="0" b="0"/>
        </a:effectRef>
        <a:fontRef idx="minor">
          <a:schemeClr val="lt1"/>
        </a:fontRef>
      </dsp:style>
      <dsp:txBody>
        <a:bodyPr lIns="41910" tIns="41910" rIns="41910" bIns="4191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100">
              <a:solidFill>
                <a:schemeClr val="tx1"/>
              </a:solidFill>
              <a:latin typeface="Calibri" panose="020F0502020204030204"/>
              <a:ea typeface="宋体" panose="02010600030101010101" charset="-122"/>
              <a:cs typeface="+mn-cs"/>
            </a:rPr>
            <a:t>准备资料</a:t>
          </a:r>
        </a:p>
      </dsp:txBody>
      <dsp:txXfrm>
        <a:off x="1762443" y="147717"/>
        <a:ext cx="629444" cy="377666"/>
      </dsp:txXfrm>
    </dsp:sp>
    <dsp:sp modelId="{61E9F66E-ADDC-4612-B5D3-B09CAD1A33A6}">
      <dsp:nvSpPr>
        <dsp:cNvPr id="8" name="右箭头 7"/>
        <dsp:cNvSpPr/>
      </dsp:nvSpPr>
      <dsp:spPr bwMode="white">
        <a:xfrm>
          <a:off x="2451054" y="258499"/>
          <a:ext cx="133442" cy="156102"/>
        </a:xfrm>
        <a:prstGeom prst="rightArrow">
          <a:avLst>
            <a:gd name="adj1" fmla="val 60000"/>
            <a:gd name="adj2" fmla="val 50000"/>
          </a:avLst>
        </a:prstGeom>
        <a:gradFill rotWithShape="0">
          <a:gsLst>
            <a:gs pos="0">
              <a:srgbClr val="4F81BD">
                <a:tint val="60000"/>
                <a:hueOff val="0"/>
                <a:satOff val="0"/>
                <a:lumOff val="0"/>
                <a:alphaOff val="0"/>
                <a:shade val="51000"/>
                <a:satMod val="130000"/>
              </a:srgbClr>
            </a:gs>
            <a:gs pos="80000">
              <a:srgbClr val="4F81BD">
                <a:tint val="60000"/>
                <a:hueOff val="0"/>
                <a:satOff val="0"/>
                <a:lumOff val="0"/>
                <a:alphaOff val="0"/>
                <a:shade val="93000"/>
                <a:satMod val="130000"/>
              </a:srgbClr>
            </a:gs>
            <a:gs pos="100000">
              <a:srgbClr val="4F81BD">
                <a:tint val="60000"/>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hemeClr val="accent1">
            <a:tint val="60000"/>
          </a:schemeClr>
        </a:lnRef>
        <a:fillRef idx="3">
          <a:schemeClr val="accent1">
            <a:tint val="60000"/>
          </a:schemeClr>
        </a:fillRef>
        <a:effectRef idx="3">
          <a:scrgbClr r="0" g="0" b="0"/>
        </a:effectRef>
        <a:fontRef idx="minor">
          <a:schemeClr val="lt1"/>
        </a:fontRef>
      </dsp:style>
      <dsp:txBody>
        <a:bodyPr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solidFill>
              <a:sysClr val="window" lastClr="FFFFFF"/>
            </a:solidFill>
            <a:latin typeface="Calibri" panose="020F0502020204030204"/>
            <a:ea typeface="宋体" panose="02010600030101010101" charset="-122"/>
            <a:cs typeface="+mn-cs"/>
          </a:endParaRPr>
        </a:p>
      </dsp:txBody>
      <dsp:txXfrm>
        <a:off x="2451054" y="258499"/>
        <a:ext cx="133442" cy="156102"/>
      </dsp:txXfrm>
    </dsp:sp>
    <dsp:sp modelId="{4E83E1E9-9DE6-40E2-88A7-073891C0BEDB}">
      <dsp:nvSpPr>
        <dsp:cNvPr id="9" name="圆角矩形 8"/>
        <dsp:cNvSpPr/>
      </dsp:nvSpPr>
      <dsp:spPr bwMode="white">
        <a:xfrm>
          <a:off x="2643664" y="147717"/>
          <a:ext cx="629444" cy="377666"/>
        </a:xfrm>
        <a:prstGeom prst="roundRect">
          <a:avLst>
            <a:gd name="adj" fmla="val 10000"/>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hemeClr val="lt1"/>
        </a:lnRef>
        <a:fillRef idx="3">
          <a:schemeClr val="accent1"/>
        </a:fillRef>
        <a:effectRef idx="3">
          <a:scrgbClr r="0" g="0" b="0"/>
        </a:effectRef>
        <a:fontRef idx="minor">
          <a:schemeClr val="lt1"/>
        </a:fontRef>
      </dsp:style>
      <dsp:txBody>
        <a:bodyPr lIns="41910" tIns="41910" rIns="41910" bIns="4191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100">
              <a:solidFill>
                <a:schemeClr val="tx1"/>
              </a:solidFill>
              <a:latin typeface="Calibri" panose="020F0502020204030204"/>
              <a:ea typeface="宋体" panose="02010600030101010101" charset="-122"/>
              <a:cs typeface="+mn-cs"/>
            </a:rPr>
            <a:t>任务实施</a:t>
          </a:r>
        </a:p>
      </dsp:txBody>
      <dsp:txXfrm>
        <a:off x="2643664" y="147717"/>
        <a:ext cx="629444" cy="377666"/>
      </dsp:txXfrm>
    </dsp:sp>
    <dsp:sp modelId="{A7535D6A-6598-40DA-8296-37B551E66802}">
      <dsp:nvSpPr>
        <dsp:cNvPr id="10" name="右箭头 9"/>
        <dsp:cNvSpPr/>
      </dsp:nvSpPr>
      <dsp:spPr bwMode="white">
        <a:xfrm>
          <a:off x="3332275" y="258499"/>
          <a:ext cx="133442" cy="156102"/>
        </a:xfrm>
        <a:prstGeom prst="rightArrow">
          <a:avLst>
            <a:gd name="adj1" fmla="val 60000"/>
            <a:gd name="adj2" fmla="val 50000"/>
          </a:avLst>
        </a:prstGeom>
      </dsp:spPr>
      <dsp:style>
        <a:lnRef idx="0">
          <a:schemeClr val="accent1">
            <a:tint val="60000"/>
          </a:schemeClr>
        </a:lnRef>
        <a:fillRef idx="3">
          <a:schemeClr val="accent1">
            <a:tint val="60000"/>
          </a:schemeClr>
        </a:fillRef>
        <a:effectRef idx="3">
          <a:scrgbClr r="0" g="0" b="0"/>
        </a:effectRef>
        <a:fontRef idx="minor">
          <a:schemeClr val="lt1"/>
        </a:fontRef>
      </dsp:style>
      <dsp:txBody>
        <a:bodyPr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p>
      </dsp:txBody>
      <dsp:txXfrm>
        <a:off x="3332275" y="258499"/>
        <a:ext cx="133442" cy="156102"/>
      </dsp:txXfrm>
    </dsp:sp>
    <dsp:sp modelId="{95D4BB7A-BE29-476A-A975-6100FD7AADAE}">
      <dsp:nvSpPr>
        <dsp:cNvPr id="11" name="圆角矩形 10"/>
        <dsp:cNvSpPr/>
      </dsp:nvSpPr>
      <dsp:spPr bwMode="white">
        <a:xfrm>
          <a:off x="3524885" y="147717"/>
          <a:ext cx="629444" cy="377666"/>
        </a:xfrm>
        <a:prstGeom prst="roundRect">
          <a:avLst>
            <a:gd name="adj" fmla="val 10000"/>
          </a:avLst>
        </a:prstGeom>
        <a:gradFill rotWithShape="0">
          <a:gsLst>
            <a:gs pos="0">
              <a:srgbClr val="4F81BD">
                <a:hueOff val="0"/>
                <a:satOff val="0"/>
                <a:lumOff val="0"/>
                <a:alphaOff val="0"/>
                <a:shade val="51000"/>
                <a:satMod val="130000"/>
              </a:srgbClr>
            </a:gs>
            <a:gs pos="80000">
              <a:srgbClr val="4F81BD">
                <a:hueOff val="0"/>
                <a:satOff val="0"/>
                <a:lumOff val="0"/>
                <a:alphaOff val="0"/>
                <a:shade val="93000"/>
                <a:satMod val="130000"/>
              </a:srgbClr>
            </a:gs>
            <a:gs pos="100000">
              <a:srgbClr val="4F81BD">
                <a:hueOff val="0"/>
                <a:satOff val="0"/>
                <a:lumOff val="0"/>
                <a:alphaOff val="0"/>
                <a:shade val="94000"/>
                <a:satMod val="135000"/>
              </a:srgb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hemeClr val="lt1"/>
        </a:lnRef>
        <a:fillRef idx="3">
          <a:schemeClr val="accent1"/>
        </a:fillRef>
        <a:effectRef idx="3">
          <a:scrgbClr r="0" g="0" b="0"/>
        </a:effectRef>
        <a:fontRef idx="minor">
          <a:schemeClr val="lt1"/>
        </a:fontRef>
      </dsp:style>
      <dsp:txBody>
        <a:bodyPr lIns="41910" tIns="41910" rIns="41910" bIns="4191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100">
              <a:solidFill>
                <a:schemeClr val="tx1"/>
              </a:solidFill>
            </a:rPr>
            <a:t>总结反馈</a:t>
          </a:r>
          <a:endParaRPr lang="zh-CN" altLang="en-US" sz="1100">
            <a:solidFill>
              <a:schemeClr val="tx1"/>
            </a:solidFill>
            <a:latin typeface="Calibri" panose="020F0502020204030204"/>
            <a:ea typeface="宋体" panose="02010600030101010101" charset="-122"/>
            <a:cs typeface="+mn-cs"/>
          </a:endParaRPr>
        </a:p>
      </dsp:txBody>
      <dsp:txXfrm>
        <a:off x="3524885" y="147717"/>
        <a:ext cx="629444" cy="377666"/>
      </dsp:txXfrm>
    </dsp:sp>
    <dsp:sp modelId="{8ADDF32C-9EC2-4C2F-85D5-0610C43BA7AB}">
      <dsp:nvSpPr>
        <dsp:cNvPr id="12" name="右箭头 11"/>
        <dsp:cNvSpPr/>
      </dsp:nvSpPr>
      <dsp:spPr bwMode="white">
        <a:xfrm>
          <a:off x="4213496" y="258499"/>
          <a:ext cx="133442" cy="156102"/>
        </a:xfrm>
        <a:prstGeom prst="rightArrow">
          <a:avLst>
            <a:gd name="adj1" fmla="val 60000"/>
            <a:gd name="adj2" fmla="val 50000"/>
          </a:avLst>
        </a:prstGeom>
      </dsp:spPr>
      <dsp:style>
        <a:lnRef idx="0">
          <a:schemeClr val="accent1">
            <a:tint val="60000"/>
          </a:schemeClr>
        </a:lnRef>
        <a:fillRef idx="3">
          <a:schemeClr val="accent1">
            <a:tint val="60000"/>
          </a:schemeClr>
        </a:fillRef>
        <a:effectRef idx="3">
          <a:scrgbClr r="0" g="0" b="0"/>
        </a:effectRef>
        <a:fontRef idx="minor">
          <a:schemeClr val="lt1"/>
        </a:fontRef>
      </dsp:style>
      <dsp:txBody>
        <a:bodyPr lIns="0" tIns="0" rIns="0" bIns="0" anchor="ctr"/>
        <a:lstStyle>
          <a:lvl1pPr algn="ctr">
            <a:defRPr sz="600"/>
          </a:lvl1pPr>
          <a:lvl2pPr marL="57150" indent="-57150" algn="ctr">
            <a:defRPr sz="500"/>
          </a:lvl2pPr>
          <a:lvl3pPr marL="114300" indent="-57150" algn="ctr">
            <a:defRPr sz="500"/>
          </a:lvl3pPr>
          <a:lvl4pPr marL="171450" indent="-57150" algn="ctr">
            <a:defRPr sz="500"/>
          </a:lvl4pPr>
          <a:lvl5pPr marL="228600" indent="-57150" algn="ctr">
            <a:defRPr sz="500"/>
          </a:lvl5pPr>
          <a:lvl6pPr marL="285750" indent="-57150" algn="ctr">
            <a:defRPr sz="500"/>
          </a:lvl6pPr>
          <a:lvl7pPr marL="342900" indent="-57150" algn="ctr">
            <a:defRPr sz="500"/>
          </a:lvl7pPr>
          <a:lvl8pPr marL="400050" indent="-57150" algn="ctr">
            <a:defRPr sz="500"/>
          </a:lvl8pPr>
          <a:lvl9pPr marL="457200" indent="-57150" algn="ctr">
            <a:defRPr sz="500"/>
          </a:lvl9pPr>
        </a:lstStyle>
        <a:p>
          <a:pPr lvl="0">
            <a:lnSpc>
              <a:spcPct val="100000"/>
            </a:lnSpc>
            <a:spcBef>
              <a:spcPct val="0"/>
            </a:spcBef>
            <a:spcAft>
              <a:spcPct val="35000"/>
            </a:spcAft>
          </a:pPr>
          <a:endParaRPr lang="zh-CN" altLang="en-US"/>
        </a:p>
      </dsp:txBody>
      <dsp:txXfrm>
        <a:off x="4213496" y="258499"/>
        <a:ext cx="133442" cy="156102"/>
      </dsp:txXfrm>
    </dsp:sp>
    <dsp:sp modelId="{63F115E9-0678-4A89-8FB1-EF14EB72BB20}">
      <dsp:nvSpPr>
        <dsp:cNvPr id="13" name="圆角矩形 12"/>
        <dsp:cNvSpPr/>
      </dsp:nvSpPr>
      <dsp:spPr bwMode="white">
        <a:xfrm>
          <a:off x="4406106" y="147717"/>
          <a:ext cx="629444" cy="377666"/>
        </a:xfrm>
        <a:prstGeom prst="roundRect">
          <a:avLst>
            <a:gd name="adj" fmla="val 10000"/>
          </a:avLst>
        </a:prstGeom>
      </dsp:spPr>
      <dsp:style>
        <a:lnRef idx="0">
          <a:schemeClr val="lt1"/>
        </a:lnRef>
        <a:fillRef idx="3">
          <a:schemeClr val="accent1"/>
        </a:fillRef>
        <a:effectRef idx="3">
          <a:scrgbClr r="0" g="0" b="0"/>
        </a:effectRef>
        <a:fontRef idx="minor">
          <a:schemeClr val="lt1"/>
        </a:fontRef>
      </dsp:style>
      <dsp:txBody>
        <a:bodyPr lIns="41910" tIns="41910" rIns="41910" bIns="41910" anchor="ctr"/>
        <a:lstStyle>
          <a:lvl1pPr algn="ctr">
            <a:defRPr sz="6500"/>
          </a:lvl1pPr>
          <a:lvl2pPr marL="285750" indent="-285750" algn="ctr">
            <a:defRPr sz="5000"/>
          </a:lvl2pPr>
          <a:lvl3pPr marL="571500" indent="-285750" algn="ctr">
            <a:defRPr sz="5000"/>
          </a:lvl3pPr>
          <a:lvl4pPr marL="857250" indent="-285750" algn="ctr">
            <a:defRPr sz="5000"/>
          </a:lvl4pPr>
          <a:lvl5pPr marL="1143000" indent="-285750" algn="ctr">
            <a:defRPr sz="5000"/>
          </a:lvl5pPr>
          <a:lvl6pPr marL="1428750" indent="-285750" algn="ctr">
            <a:defRPr sz="5000"/>
          </a:lvl6pPr>
          <a:lvl7pPr marL="1714500" indent="-285750" algn="ctr">
            <a:defRPr sz="5000"/>
          </a:lvl7pPr>
          <a:lvl8pPr marL="2000250" indent="-285750" algn="ctr">
            <a:defRPr sz="5000"/>
          </a:lvl8pPr>
          <a:lvl9pPr marL="2286000" indent="-285750" algn="ctr">
            <a:defRPr sz="5000"/>
          </a:lvl9pPr>
        </a:lstStyle>
        <a:p>
          <a:pPr lvl="0">
            <a:lnSpc>
              <a:spcPct val="100000"/>
            </a:lnSpc>
            <a:spcBef>
              <a:spcPct val="0"/>
            </a:spcBef>
            <a:spcAft>
              <a:spcPct val="35000"/>
            </a:spcAft>
          </a:pPr>
          <a:r>
            <a:rPr lang="zh-CN" altLang="en-US" sz="1100">
              <a:solidFill>
                <a:schemeClr val="tx1"/>
              </a:solidFill>
            </a:rPr>
            <a:t>完稿归档</a:t>
          </a:r>
        </a:p>
      </dsp:txBody>
      <dsp:txXfrm>
        <a:off x="4406106" y="147717"/>
        <a:ext cx="629444" cy="377666"/>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rSet qsTypeId="urn:microsoft.com/office/officeart/2005/8/quickstyle/simple5"/>
        </dgm:pt>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1">
  <dgm:title val=""/>
  <dgm:desc val=""/>
  <dgm:catLst>
    <dgm:cat type="simple" pri="105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2">
        <a:scrgbClr r="0" g="0" b="0"/>
      </a:effectRef>
      <a:fontRef idx="minor"/>
    </dgm:style>
  </dgm:styleLbl>
  <dgm:styleLbl name="alignImgPlace1">
    <dgm:scene3d>
      <a:camera prst="orthographicFront"/>
      <a:lightRig rig="threePt" dir="t"/>
    </dgm:scene3d>
    <dgm:txPr/>
    <dgm:style>
      <a:lnRef idx="0">
        <a:scrgbClr r="0" g="0" b="0"/>
      </a:lnRef>
      <a:fillRef idx="1">
        <a:scrgbClr r="0" g="0" b="0"/>
      </a:fillRef>
      <a:effectRef idx="3">
        <a:scrgbClr r="0" g="0" b="0"/>
      </a:effectRef>
      <a:fontRef idx="minor"/>
    </dgm:style>
  </dgm:styleLbl>
  <dgm:styleLbl name="alignNode1">
    <dgm:scene3d>
      <a:camera prst="orthographicFront"/>
      <a:lightRig rig="threePt" dir="t"/>
    </dgm:scene3d>
    <dgm:txPr/>
    <dgm:style>
      <a:lnRef idx="1">
        <a:scrgbClr r="0" g="0" b="0"/>
      </a:lnRef>
      <a:fillRef idx="3">
        <a:scrgbClr r="0" g="0" b="0"/>
      </a:fillRef>
      <a:effectRef idx="3">
        <a:scrgbClr r="0" g="0" b="0"/>
      </a:effectRef>
      <a:fontRef idx="minor">
        <a:schemeClr val="lt1"/>
      </a:fontRef>
    </dgm:style>
  </dgm:styleLbl>
  <dgm:styleLbl name="asst0">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bg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2">
        <a:scrgbClr r="0" g="0" b="0"/>
      </a:effectRef>
      <a:fontRef idx="minor"/>
    </dgm:style>
  </dgm:styleLbl>
  <dgm:styleLbl name="bgImgPlace1">
    <dgm:scene3d>
      <a:camera prst="orthographicFront"/>
      <a:lightRig rig="threePt" dir="t"/>
    </dgm:scene3d>
    <dgm:txPr/>
    <dgm:style>
      <a:lnRef idx="0">
        <a:scrgbClr r="0" g="0" b="0"/>
      </a:lnRef>
      <a:fillRef idx="1">
        <a:scrgbClr r="0" g="0" b="0"/>
      </a:fillRef>
      <a:effectRef idx="3">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2">
        <a:scrgbClr r="0" g="0" b="0"/>
      </a:effectRef>
      <a:fontRef idx="minor"/>
    </dgm:style>
  </dgm:styleLbl>
  <dgm:styleLbl name="bgSibTrans2D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callout">
    <dgm:scene3d>
      <a:camera prst="orthographicFront"/>
      <a:lightRig rig="threePt" dir="t"/>
    </dgm:scene3d>
    <dgm:txPr/>
    <dgm:style>
      <a:lnRef idx="1">
        <a:scrgbClr r="0" g="0" b="0"/>
      </a:lnRef>
      <a:fillRef idx="0">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3">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2">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2">
        <a:scrgbClr r="0" g="0" b="0"/>
      </a:effectRef>
      <a:fontRef idx="minor"/>
    </dgm:style>
  </dgm:styleLbl>
  <dgm:styleLbl name="fgImgPlace1">
    <dgm:scene3d>
      <a:camera prst="orthographicFront"/>
      <a:lightRig rig="threePt" dir="t"/>
    </dgm:scene3d>
    <dgm:txPr/>
    <dgm:style>
      <a:lnRef idx="0">
        <a:scrgbClr r="0" g="0" b="0"/>
      </a:lnRef>
      <a:fillRef idx="1">
        <a:scrgbClr r="0" g="0" b="0"/>
      </a:fillRef>
      <a:effectRef idx="3">
        <a:scrgbClr r="0" g="0" b="0"/>
      </a:effectRef>
      <a:fontRef idx="minor"/>
    </dgm:style>
  </dgm:styleLbl>
  <dgm:styleLbl name="fgShp">
    <dgm:scene3d>
      <a:camera prst="orthographicFront"/>
      <a:lightRig rig="threePt" dir="t"/>
    </dgm:scene3d>
    <dgm:txPr/>
    <dgm:style>
      <a:lnRef idx="0">
        <a:scrgbClr r="0" g="0" b="0"/>
      </a:lnRef>
      <a:fillRef idx="3">
        <a:scrgbClr r="0" g="0" b="0"/>
      </a:fillRef>
      <a:effectRef idx="3">
        <a:scrgbClr r="0" g="0" b="0"/>
      </a:effectRef>
      <a:fontRef idx="minor"/>
    </dgm:style>
  </dgm:styleLbl>
  <dgm:styleLbl name="fgSibTrans2D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0">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3">
        <a:scrgbClr r="0" g="0" b="0"/>
      </a:fillRef>
      <a:effectRef idx="3">
        <a:scrgbClr r="0" g="0" b="0"/>
      </a:effectRef>
      <a:fontRef idx="minor">
        <a:schemeClr val="lt1"/>
      </a:fontRef>
    </dgm:style>
  </dgm:styleLbl>
  <dgm:styleLbl name="solidAlignAcc1">
    <dgm:scene3d>
      <a:camera prst="orthographicFront"/>
      <a:lightRig rig="threePt" dir="t"/>
    </dgm:scene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3">
        <a:scrgbClr r="0" g="0" b="0"/>
      </a:effectRef>
      <a:fontRef idx="minor"/>
    </dgm:style>
  </dgm:styleLbl>
  <dgm:styleLbl name="solidFgAcc1">
    <dgm:scene3d>
      <a:camera prst="orthographicFront"/>
      <a:lightRig rig="threePt" dir="t"/>
    </dgm:scene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0">
        <a:scrgbClr r="0" g="0" b="0"/>
      </a:lnRef>
      <a:fillRef idx="3">
        <a:scrgbClr r="0" g="0" b="0"/>
      </a:fillRef>
      <a:effectRef idx="3">
        <a:scrgbClr r="0" g="0" b="0"/>
      </a:effectRef>
      <a:fontRef idx="minor">
        <a:schemeClr val="tx1"/>
      </a:fontRef>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8717</Words>
  <Characters>9208</Characters>
  <Lines>22</Lines>
  <Paragraphs>6</Paragraphs>
  <TotalTime>1</TotalTime>
  <ScaleCrop>false</ScaleCrop>
  <LinksUpToDate>false</LinksUpToDate>
  <CharactersWithSpaces>9237</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2022-08-19T03:02:00Z</dcterms:created>
  <dc:creator>徐 玉</dc:creator>
  <cp:lastModifiedBy>桂灵</cp:lastModifiedBy>
  <cp:lastPrinted>2024-08-15T01:38:00Z</cp:lastPrinted>
  <dcterms:modified xsi:type="dcterms:W3CDTF">2024-09-04T08:41:51Z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4D61D83D23EF4F6B8FDDD2021FE1CF24_13</vt:lpwstr>
  </property>
</Properties>
</file>