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BF626">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7A9BC3D5">
      <w:pPr>
        <w:jc w:val="center"/>
        <w:rPr>
          <w:rFonts w:asciiTheme="minorEastAsia" w:hAnsiTheme="minorEastAsia"/>
          <w:b/>
          <w:sz w:val="56"/>
        </w:rPr>
      </w:pPr>
    </w:p>
    <w:p w14:paraId="66AB15CD">
      <w:pPr>
        <w:jc w:val="center"/>
        <w:rPr>
          <w:rFonts w:asciiTheme="minorEastAsia" w:hAnsiTheme="minorEastAsia"/>
          <w:b/>
          <w:sz w:val="56"/>
        </w:rPr>
      </w:pPr>
      <w:bookmarkStart w:id="0" w:name="_GoBack"/>
      <w:bookmarkEnd w:id="0"/>
    </w:p>
    <w:p w14:paraId="1004495D">
      <w:pPr>
        <w:jc w:val="center"/>
        <w:rPr>
          <w:rFonts w:hint="eastAsia" w:ascii="黑体" w:hAnsi="黑体" w:eastAsia="黑体" w:cs="黑体"/>
          <w:b/>
          <w:sz w:val="52"/>
          <w:szCs w:val="52"/>
        </w:rPr>
      </w:pPr>
      <w:r>
        <w:rPr>
          <w:rFonts w:hint="eastAsia" w:ascii="黑体" w:hAnsi="黑体" w:eastAsia="黑体" w:cs="黑体"/>
          <w:b/>
          <w:sz w:val="52"/>
          <w:szCs w:val="52"/>
        </w:rPr>
        <w:t>《</w:t>
      </w:r>
      <w:r>
        <w:rPr>
          <w:rFonts w:hint="eastAsia" w:ascii="黑体" w:hAnsi="黑体" w:eastAsia="黑体" w:cs="黑体"/>
          <w:b/>
          <w:sz w:val="52"/>
          <w:szCs w:val="52"/>
          <w:lang w:val="en-US" w:eastAsia="zh-CN"/>
        </w:rPr>
        <w:t>智能模型调优</w:t>
      </w:r>
      <w:r>
        <w:rPr>
          <w:rFonts w:hint="eastAsia" w:ascii="黑体" w:hAnsi="黑体" w:eastAsia="黑体" w:cs="黑体"/>
          <w:b/>
          <w:sz w:val="52"/>
          <w:szCs w:val="52"/>
        </w:rPr>
        <w:t>》课程标准</w:t>
      </w:r>
    </w:p>
    <w:p w14:paraId="60FF9A84">
      <w:pPr>
        <w:jc w:val="center"/>
        <w:rPr>
          <w:rFonts w:asciiTheme="minorEastAsia" w:hAnsiTheme="minorEastAsia"/>
          <w:b/>
          <w:sz w:val="56"/>
        </w:rPr>
      </w:pPr>
    </w:p>
    <w:p w14:paraId="76DF6138">
      <w:pPr>
        <w:jc w:val="center"/>
        <w:rPr>
          <w:rFonts w:asciiTheme="minorEastAsia" w:hAnsiTheme="minorEastAsia"/>
          <w:b/>
          <w:sz w:val="56"/>
        </w:rPr>
      </w:pPr>
    </w:p>
    <w:p w14:paraId="4A5C4610">
      <w:pPr>
        <w:ind w:firstLine="2340" w:firstLineChars="650"/>
        <w:jc w:val="left"/>
        <w:rPr>
          <w:rFonts w:ascii="楷体" w:hAnsi="楷体" w:eastAsia="楷体"/>
          <w:sz w:val="36"/>
        </w:rPr>
      </w:pPr>
      <w:r>
        <w:rPr>
          <w:rFonts w:hint="eastAsia" w:ascii="楷体" w:hAnsi="楷体" w:eastAsia="楷体"/>
          <w:sz w:val="36"/>
        </w:rPr>
        <w:t>课程代码：</w:t>
      </w:r>
      <w:r>
        <w:rPr>
          <w:rFonts w:ascii="楷体" w:hAnsi="楷体" w:eastAsia="楷体"/>
          <w:sz w:val="36"/>
        </w:rPr>
        <w:tab/>
      </w:r>
      <w:r>
        <w:rPr>
          <w:rFonts w:hint="eastAsia" w:ascii="楷体" w:hAnsi="楷体" w:eastAsia="楷体"/>
          <w:sz w:val="36"/>
        </w:rPr>
        <w:t>0430068</w:t>
      </w:r>
    </w:p>
    <w:p w14:paraId="34F2FC1F">
      <w:pPr>
        <w:ind w:firstLine="2340" w:firstLineChars="650"/>
        <w:jc w:val="left"/>
        <w:rPr>
          <w:rFonts w:ascii="楷体" w:hAnsi="楷体" w:eastAsia="楷体"/>
          <w:sz w:val="36"/>
        </w:rPr>
      </w:pPr>
      <w:r>
        <w:rPr>
          <w:rFonts w:hint="eastAsia" w:ascii="楷体" w:hAnsi="楷体" w:eastAsia="楷体"/>
          <w:sz w:val="36"/>
        </w:rPr>
        <w:t>课程性质：必修课</w:t>
      </w:r>
    </w:p>
    <w:p w14:paraId="73A8540D">
      <w:pPr>
        <w:jc w:val="left"/>
        <w:rPr>
          <w:rFonts w:hint="default" w:ascii="楷体" w:hAnsi="楷体" w:eastAsia="楷体"/>
          <w:sz w:val="36"/>
          <w:lang w:val="en-US" w:eastAsia="zh-CN"/>
        </w:rPr>
      </w:pPr>
      <w:r>
        <w:rPr>
          <w:rFonts w:hint="eastAsia" w:ascii="楷体" w:hAnsi="楷体" w:eastAsia="楷体"/>
          <w:sz w:val="36"/>
        </w:rPr>
        <w:t xml:space="preserve">             课程类别：</w:t>
      </w:r>
      <w:r>
        <w:rPr>
          <w:rFonts w:hint="eastAsia" w:ascii="楷体" w:hAnsi="楷体" w:eastAsia="楷体"/>
          <w:sz w:val="36"/>
          <w:lang w:val="en-US" w:eastAsia="zh-CN"/>
        </w:rPr>
        <w:t>工学一体化课程</w:t>
      </w:r>
    </w:p>
    <w:p w14:paraId="7FD1BCC1">
      <w:pPr>
        <w:ind w:firstLine="2340" w:firstLineChars="650"/>
        <w:jc w:val="left"/>
        <w:rPr>
          <w:rFonts w:hint="eastAsia" w:ascii="楷体" w:hAnsi="楷体" w:eastAsia="楷体"/>
          <w:sz w:val="36"/>
        </w:rPr>
      </w:pPr>
      <w:r>
        <w:rPr>
          <w:rFonts w:hint="eastAsia" w:ascii="楷体" w:hAnsi="楷体" w:eastAsia="楷体"/>
          <w:sz w:val="36"/>
        </w:rPr>
        <w:t>适用对象：人工智能技术应用专业</w:t>
      </w:r>
    </w:p>
    <w:p w14:paraId="3E54A847">
      <w:pPr>
        <w:ind w:firstLine="2340" w:firstLineChars="650"/>
        <w:jc w:val="left"/>
        <w:rPr>
          <w:rFonts w:hint="eastAsia" w:ascii="楷体" w:hAnsi="楷体" w:eastAsia="楷体"/>
          <w:sz w:val="36"/>
          <w:lang w:eastAsia="zh-CN"/>
        </w:rPr>
      </w:pPr>
      <w:r>
        <w:rPr>
          <w:rFonts w:hint="eastAsia" w:ascii="楷体" w:hAnsi="楷体" w:eastAsia="楷体"/>
          <w:sz w:val="36"/>
        </w:rPr>
        <w:t>所属培养层级</w:t>
      </w:r>
      <w:r>
        <w:rPr>
          <w:rFonts w:hint="eastAsia" w:ascii="楷体" w:hAnsi="楷体" w:eastAsia="楷体"/>
          <w:sz w:val="36"/>
          <w:lang w:eastAsia="zh-CN"/>
        </w:rPr>
        <w:t>：</w:t>
      </w:r>
      <w:r>
        <w:rPr>
          <w:rFonts w:hint="eastAsia" w:ascii="楷体" w:hAnsi="楷体" w:eastAsia="楷体"/>
          <w:sz w:val="36"/>
        </w:rPr>
        <w:t>初中起五年高技</w:t>
      </w:r>
    </w:p>
    <w:p w14:paraId="5FAC9822">
      <w:pPr>
        <w:ind w:firstLine="2340" w:firstLineChars="650"/>
        <w:jc w:val="left"/>
        <w:rPr>
          <w:rFonts w:hint="default" w:ascii="楷体" w:hAnsi="楷体" w:eastAsia="楷体"/>
          <w:sz w:val="36"/>
          <w:lang w:val="en-US" w:eastAsia="zh-CN"/>
        </w:rPr>
      </w:pPr>
      <w:r>
        <w:rPr>
          <w:rFonts w:hint="eastAsia" w:ascii="楷体" w:hAnsi="楷体" w:eastAsia="楷体"/>
          <w:sz w:val="36"/>
        </w:rPr>
        <w:t>总 学 时：</w:t>
      </w:r>
      <w:r>
        <w:rPr>
          <w:rFonts w:hint="eastAsia" w:ascii="楷体" w:hAnsi="楷体" w:eastAsia="楷体"/>
          <w:sz w:val="36"/>
          <w:lang w:val="en-US" w:eastAsia="zh-CN"/>
        </w:rPr>
        <w:t>140</w:t>
      </w:r>
    </w:p>
    <w:p w14:paraId="51B4F99D">
      <w:pPr>
        <w:ind w:firstLine="2340" w:firstLineChars="650"/>
        <w:jc w:val="left"/>
        <w:rPr>
          <w:rFonts w:ascii="楷体" w:hAnsi="楷体" w:eastAsia="楷体"/>
          <w:sz w:val="36"/>
        </w:rPr>
      </w:pPr>
      <w:r>
        <w:rPr>
          <w:rFonts w:hint="eastAsia" w:ascii="楷体" w:hAnsi="楷体" w:eastAsia="楷体"/>
          <w:sz w:val="36"/>
          <w:lang w:val="en-US" w:eastAsia="zh-CN"/>
        </w:rPr>
        <w:t>制定人</w:t>
      </w:r>
      <w:r>
        <w:rPr>
          <w:rFonts w:hint="eastAsia" w:ascii="楷体" w:hAnsi="楷体" w:eastAsia="楷体"/>
          <w:sz w:val="36"/>
        </w:rPr>
        <w:t>：</w:t>
      </w:r>
    </w:p>
    <w:p w14:paraId="273F6C0D">
      <w:pPr>
        <w:ind w:firstLine="2340" w:firstLineChars="650"/>
        <w:jc w:val="left"/>
        <w:rPr>
          <w:rFonts w:ascii="楷体" w:hAnsi="楷体" w:eastAsia="楷体"/>
          <w:sz w:val="36"/>
        </w:rPr>
      </w:pPr>
      <w:r>
        <w:rPr>
          <w:rFonts w:hint="eastAsia" w:ascii="楷体" w:hAnsi="楷体" w:eastAsia="楷体"/>
          <w:sz w:val="36"/>
          <w:lang w:val="en-US" w:eastAsia="zh-CN"/>
        </w:rPr>
        <w:t>审核</w:t>
      </w:r>
      <w:r>
        <w:rPr>
          <w:rFonts w:hint="eastAsia" w:ascii="楷体" w:hAnsi="楷体" w:eastAsia="楷体"/>
          <w:sz w:val="36"/>
        </w:rPr>
        <w:t>人：</w:t>
      </w:r>
    </w:p>
    <w:p w14:paraId="66FA9D61">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14:paraId="66C4768D">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14:paraId="0EE3BDB1">
      <w:pPr>
        <w:ind w:firstLine="2340" w:firstLineChars="650"/>
        <w:jc w:val="left"/>
        <w:rPr>
          <w:rFonts w:ascii="宋体" w:hAnsi="宋体" w:eastAsia="宋体"/>
          <w:b/>
          <w:bCs/>
          <w:sz w:val="32"/>
          <w:szCs w:val="32"/>
        </w:rPr>
      </w:pPr>
      <w:r>
        <w:rPr>
          <w:rFonts w:hint="eastAsia" w:ascii="楷体" w:hAnsi="楷体" w:eastAsia="楷体"/>
          <w:sz w:val="36"/>
        </w:rPr>
        <w:t>编订日期：2024年7月13日</w:t>
      </w:r>
      <w:r>
        <w:rPr>
          <w:rFonts w:hint="eastAsia"/>
          <w:b/>
          <w:bCs/>
          <w:sz w:val="36"/>
          <w:szCs w:val="36"/>
        </w:rPr>
        <w:br w:type="page"/>
      </w:r>
    </w:p>
    <w:p w14:paraId="51120729">
      <w:pPr>
        <w:jc w:val="center"/>
        <w:rPr>
          <w:rFonts w:ascii="黑体" w:hAnsi="黑体" w:eastAsia="黑体" w:cs="黑体"/>
          <w:b/>
          <w:bCs/>
          <w:sz w:val="36"/>
          <w:szCs w:val="36"/>
        </w:rPr>
      </w:pPr>
      <w:r>
        <w:rPr>
          <w:rFonts w:hint="eastAsia" w:ascii="黑体" w:hAnsi="黑体" w:eastAsia="黑体" w:cs="黑体"/>
          <w:b/>
          <w:bCs/>
          <w:sz w:val="36"/>
          <w:szCs w:val="36"/>
        </w:rPr>
        <w:t>工学一体化课程标准</w:t>
      </w:r>
    </w:p>
    <w:tbl>
      <w:tblPr>
        <w:tblStyle w:val="8"/>
        <w:tblW w:w="0" w:type="auto"/>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912"/>
        <w:gridCol w:w="63"/>
        <w:gridCol w:w="487"/>
        <w:gridCol w:w="3338"/>
        <w:gridCol w:w="1270"/>
        <w:gridCol w:w="255"/>
        <w:gridCol w:w="1587"/>
      </w:tblGrid>
      <w:tr w14:paraId="32F215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800" w:type="dxa"/>
            <w:gridSpan w:val="3"/>
            <w:tcBorders>
              <w:tl2br w:val="nil"/>
              <w:tr2bl w:val="nil"/>
            </w:tcBorders>
            <w:vAlign w:val="center"/>
          </w:tcPr>
          <w:p w14:paraId="6C311592">
            <w:pPr>
              <w:jc w:val="center"/>
              <w:rPr>
                <w:rFonts w:hint="eastAsia" w:ascii="仿宋" w:hAnsi="仿宋" w:eastAsia="仿宋" w:cs="仿宋"/>
                <w:kern w:val="0"/>
                <w:sz w:val="24"/>
                <w:szCs w:val="24"/>
              </w:rPr>
            </w:pPr>
            <w:r>
              <w:rPr>
                <w:rFonts w:hint="eastAsia" w:ascii="仿宋" w:hAnsi="仿宋" w:eastAsia="仿宋" w:cs="仿宋"/>
                <w:b/>
                <w:bCs/>
                <w:kern w:val="0"/>
                <w:sz w:val="24"/>
                <w:szCs w:val="24"/>
              </w:rPr>
              <w:t>一体化课程名称</w:t>
            </w:r>
          </w:p>
        </w:tc>
        <w:tc>
          <w:tcPr>
            <w:tcW w:w="3825" w:type="dxa"/>
            <w:gridSpan w:val="2"/>
            <w:tcBorders>
              <w:tl2br w:val="nil"/>
              <w:tr2bl w:val="nil"/>
            </w:tcBorders>
            <w:vAlign w:val="center"/>
          </w:tcPr>
          <w:p w14:paraId="67913DC6">
            <w:pPr>
              <w:jc w:val="center"/>
              <w:rPr>
                <w:rFonts w:hint="eastAsia" w:ascii="仿宋" w:hAnsi="仿宋" w:eastAsia="仿宋" w:cs="仿宋"/>
                <w:kern w:val="0"/>
                <w:sz w:val="24"/>
                <w:szCs w:val="24"/>
              </w:rPr>
            </w:pPr>
            <w:r>
              <w:rPr>
                <w:rFonts w:hint="eastAsia" w:ascii="仿宋" w:hAnsi="仿宋" w:eastAsia="仿宋" w:cs="仿宋"/>
                <w:sz w:val="24"/>
                <w:szCs w:val="32"/>
                <w:lang w:val="en-US" w:eastAsia="zh-CN"/>
              </w:rPr>
              <w:t>智能模型调优</w:t>
            </w:r>
          </w:p>
        </w:tc>
        <w:tc>
          <w:tcPr>
            <w:tcW w:w="1270" w:type="dxa"/>
            <w:tcBorders>
              <w:tl2br w:val="nil"/>
              <w:tr2bl w:val="nil"/>
            </w:tcBorders>
            <w:vAlign w:val="center"/>
          </w:tcPr>
          <w:p w14:paraId="173F0D1E">
            <w:pPr>
              <w:jc w:val="center"/>
              <w:rPr>
                <w:rFonts w:hint="eastAsia" w:ascii="仿宋" w:hAnsi="仿宋" w:eastAsia="仿宋" w:cs="仿宋"/>
                <w:kern w:val="0"/>
                <w:sz w:val="24"/>
                <w:szCs w:val="24"/>
              </w:rPr>
            </w:pPr>
            <w:r>
              <w:rPr>
                <w:rFonts w:hint="eastAsia" w:ascii="仿宋" w:hAnsi="仿宋" w:eastAsia="仿宋" w:cs="仿宋"/>
                <w:b/>
                <w:bCs/>
                <w:kern w:val="0"/>
                <w:sz w:val="24"/>
                <w:szCs w:val="24"/>
              </w:rPr>
              <w:t>学时</w:t>
            </w:r>
          </w:p>
        </w:tc>
        <w:tc>
          <w:tcPr>
            <w:tcW w:w="1842" w:type="dxa"/>
            <w:gridSpan w:val="2"/>
            <w:tcBorders>
              <w:tl2br w:val="nil"/>
              <w:tr2bl w:val="nil"/>
            </w:tcBorders>
            <w:vAlign w:val="center"/>
          </w:tcPr>
          <w:p w14:paraId="6E3D439D">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140</w:t>
            </w:r>
          </w:p>
        </w:tc>
      </w:tr>
      <w:tr w14:paraId="1D07E7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737" w:type="dxa"/>
            <w:gridSpan w:val="8"/>
            <w:tcBorders>
              <w:tl2br w:val="nil"/>
              <w:tr2bl w:val="nil"/>
            </w:tcBorders>
          </w:tcPr>
          <w:p w14:paraId="1B4E2AE9">
            <w:pPr>
              <w:jc w:val="center"/>
              <w:rPr>
                <w:rFonts w:hint="eastAsia" w:ascii="仿宋" w:hAnsi="仿宋" w:eastAsia="仿宋" w:cs="仿宋"/>
                <w:kern w:val="0"/>
                <w:sz w:val="24"/>
                <w:szCs w:val="24"/>
              </w:rPr>
            </w:pPr>
            <w:r>
              <w:rPr>
                <w:rFonts w:hint="eastAsia" w:ascii="仿宋" w:hAnsi="仿宋" w:eastAsia="仿宋" w:cs="仿宋"/>
                <w:b/>
                <w:sz w:val="24"/>
                <w:szCs w:val="24"/>
              </w:rPr>
              <w:t>典型工作任务描述</w:t>
            </w:r>
          </w:p>
        </w:tc>
      </w:tr>
      <w:tr w14:paraId="6A5EB6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1B617C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智能模型调优是根据项目需求和算法原理，对已完成构建的智能模型进行性能优化与参数调整，以确保模型在实际应用中能够达到最佳效果的工作。智能模型调优广泛应用于智慧城市、智能制造、智能推荐系统等多个领域，涉及深度学习模型、机器学习算法、自然语言处理模型等多种类型的智能模型。</w:t>
            </w:r>
          </w:p>
          <w:p w14:paraId="4C1DA4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智能模型调优是人工智能技术在实际应用中发挥最大效能的关键环节，对于特定任务的智能模型，其调优过程可能相对复杂，但在专业团队中，通常由具有高级数据分析与算法调优能力的工程师独立完成或协作完成。</w:t>
            </w:r>
          </w:p>
          <w:p w14:paraId="2DF3A3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调优工程师从项目经理处接收任务后，首先分析项目需求与模型现状，明确调优目标、时间框架和预期成果；与项目经理及团队成员进行深入的技术交流，记录调优的关键点和潜在挑战；查阅相关文献、算法文档、数据集说明及企业内部的调优指南，明确调优策略、算法选择、参数调整范围，以及评估模型性能的方法和指标，对重要信息进行整理与标注；根据时间要求，合理规划调优计划，并准备必要的计算资源、软件工具和数据集；在团队负责人的指导下，进行模型的初步调优尝试，包括算法改进、特征选择、超参数调整等，以及针对特定领域问题的模型结构调整；调优过程中，持续监控模型性能变化，进行迭代优化，确保模型在验证集上的表现稳步提升，同时满足项目的实际应用需求；调优结束后，整理调优过程记录，总结调优经验，撰写调优报告，并为模型的部署与上线提供支持。</w:t>
            </w:r>
          </w:p>
          <w:p w14:paraId="3DE7F4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在整个调优过程中，调优工程师需严格遵守《人工智能模型开发与管理规范》、《深度学习算法应用安全指南》、《数据科学与机器学习项目流程规范》等行业标准与企业内部规范，同时执行企业的信息安全政策、数据保护规定及研发管理流程；调优工程师应具备深厚的算法基础、数据分析能力、编程技能，以及良好的沟通协调、问题解决、创新思维等能力，同时需具备高度的责任心、耐心、细致的工作态度，以及对新技术持续学习的热情。</w:t>
            </w:r>
          </w:p>
        </w:tc>
      </w:tr>
      <w:tr w14:paraId="3BB17D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15D4ED16">
            <w:pPr>
              <w:tabs>
                <w:tab w:val="left" w:pos="20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工作内容分析</w:t>
            </w:r>
          </w:p>
        </w:tc>
      </w:tr>
      <w:tr w14:paraId="375758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737" w:type="dxa"/>
            <w:gridSpan w:val="2"/>
            <w:tcBorders>
              <w:tl2br w:val="nil"/>
              <w:tr2bl w:val="nil"/>
            </w:tcBorders>
          </w:tcPr>
          <w:p w14:paraId="4DFF679D">
            <w:pPr>
              <w:pStyle w:val="14"/>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工作对象：</w:t>
            </w:r>
          </w:p>
          <w:p w14:paraId="25C30771">
            <w:pPr>
              <w:ind w:firstLine="240" w:firstLineChars="100"/>
            </w:pPr>
            <w:r>
              <w:rPr>
                <w:rFonts w:hint="eastAsia" w:ascii="仿宋" w:hAnsi="仿宋" w:eastAsia="仿宋" w:cs="仿宋"/>
                <w:kern w:val="0"/>
                <w:sz w:val="24"/>
                <w:szCs w:val="24"/>
                <w:lang w:val="en-US" w:eastAsia="zh-CN"/>
              </w:rPr>
              <w:t>1.</w:t>
            </w:r>
            <w:r>
              <w:rPr>
                <w:rFonts w:hint="eastAsia" w:ascii="仿宋" w:hAnsi="仿宋" w:eastAsia="仿宋" w:cs="仿宋"/>
                <w:color w:val="000000" w:themeColor="text1"/>
                <w:kern w:val="0"/>
                <w:sz w:val="24"/>
                <w:szCs w:val="24"/>
                <w14:textFill>
                  <w14:solidFill>
                    <w14:schemeClr w14:val="tx1"/>
                  </w14:solidFill>
                </w14:textFill>
              </w:rPr>
              <w:t>【</w:t>
            </w:r>
            <w:r>
              <w:rPr>
                <w:rFonts w:hint="eastAsia" w:ascii="仿宋" w:hAnsi="仿宋" w:eastAsia="仿宋" w:cs="仿宋"/>
                <w:kern w:val="0"/>
                <w:sz w:val="24"/>
                <w:szCs w:val="24"/>
              </w:rPr>
              <w:t>任务获取与调优目标明确</w:t>
            </w:r>
            <w:r>
              <w:rPr>
                <w:rFonts w:hint="eastAsia" w:ascii="仿宋" w:hAnsi="仿宋" w:eastAsia="仿宋" w:cs="仿宋"/>
                <w:color w:val="000000" w:themeColor="text1"/>
                <w:kern w:val="0"/>
                <w:sz w:val="24"/>
                <w:szCs w:val="24"/>
                <w14:textFill>
                  <w14:solidFill>
                    <w14:schemeClr w14:val="tx1"/>
                  </w14:solidFill>
                </w14:textFill>
              </w:rPr>
              <w:t>】</w:t>
            </w:r>
          </w:p>
          <w:p w14:paraId="7CA5EF4A">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阅读并分析调优任务单，与项目经理或技术主管进行专业沟通，明确调优目标、预期成果及关键时间节点。</w:t>
            </w:r>
          </w:p>
          <w:p w14:paraId="52B36B95">
            <w:pPr>
              <w:adjustRightInd w:val="0"/>
              <w:snapToGrid w:val="0"/>
              <w:spacing w:line="360" w:lineRule="auto"/>
              <w:ind w:firstLine="240" w:firstLineChars="100"/>
            </w:pPr>
            <w:r>
              <w:rPr>
                <w:rFonts w:hint="eastAsia" w:ascii="仿宋" w:hAnsi="仿宋" w:eastAsia="仿宋" w:cs="仿宋"/>
                <w:kern w:val="0"/>
                <w:sz w:val="24"/>
                <w:szCs w:val="24"/>
                <w:lang w:val="en-US" w:eastAsia="zh-CN"/>
              </w:rPr>
              <w:t>2.</w:t>
            </w:r>
            <w:r>
              <w:rPr>
                <w:rFonts w:hint="eastAsia" w:ascii="仿宋" w:hAnsi="仿宋" w:eastAsia="仿宋" w:cs="仿宋"/>
                <w:color w:val="000000" w:themeColor="text1"/>
                <w:kern w:val="0"/>
                <w:sz w:val="24"/>
                <w:szCs w:val="24"/>
                <w14:textFill>
                  <w14:solidFill>
                    <w14:schemeClr w14:val="tx1"/>
                  </w14:solidFill>
                </w14:textFill>
              </w:rPr>
              <w:t>【</w:t>
            </w:r>
            <w:r>
              <w:rPr>
                <w:rFonts w:hint="eastAsia" w:ascii="仿宋" w:hAnsi="仿宋" w:eastAsia="仿宋" w:cs="仿宋"/>
                <w:kern w:val="0"/>
                <w:sz w:val="24"/>
                <w:szCs w:val="24"/>
              </w:rPr>
              <w:t>技术文档与资料研读</w:t>
            </w:r>
            <w:r>
              <w:rPr>
                <w:rFonts w:hint="eastAsia" w:ascii="仿宋" w:hAnsi="仿宋" w:eastAsia="仿宋" w:cs="仿宋"/>
                <w:color w:val="000000" w:themeColor="text1"/>
                <w:kern w:val="0"/>
                <w:sz w:val="24"/>
                <w:szCs w:val="24"/>
                <w14:textFill>
                  <w14:solidFill>
                    <w14:schemeClr w14:val="tx1"/>
                  </w14:solidFill>
                </w14:textFill>
              </w:rPr>
              <w:t>】</w:t>
            </w:r>
          </w:p>
          <w:p w14:paraId="7EEF08DA">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深入阅读安全操作规程、模型开发文档、算法原理说明、数据集描述及企业内部的调优指南，确保对调优背景、模型现状及可调优空间有全面理解。</w:t>
            </w:r>
          </w:p>
          <w:p w14:paraId="21E3DD93">
            <w:pPr>
              <w:numPr>
                <w:ilvl w:val="0"/>
                <w:numId w:val="0"/>
              </w:numPr>
              <w:adjustRightInd w:val="0"/>
              <w:snapToGrid w:val="0"/>
              <w:spacing w:line="360" w:lineRule="auto"/>
              <w:ind w:firstLine="240" w:firstLineChars="100"/>
            </w:pPr>
            <w:r>
              <w:rPr>
                <w:rFonts w:hint="eastAsia" w:ascii="仿宋" w:hAnsi="仿宋" w:eastAsia="仿宋" w:cs="仿宋"/>
                <w:color w:val="000000" w:themeColor="text1"/>
                <w:kern w:val="0"/>
                <w:sz w:val="24"/>
                <w:szCs w:val="24"/>
                <w:lang w:val="en-US" w:eastAsia="zh-CN"/>
                <w14:textFill>
                  <w14:solidFill>
                    <w14:schemeClr w14:val="tx1"/>
                  </w14:solidFill>
                </w14:textFill>
              </w:rPr>
              <w:t>3.</w:t>
            </w:r>
            <w:r>
              <w:rPr>
                <w:rFonts w:hint="eastAsia" w:ascii="仿宋" w:hAnsi="仿宋" w:eastAsia="仿宋" w:cs="仿宋"/>
                <w:color w:val="000000" w:themeColor="text1"/>
                <w:kern w:val="0"/>
                <w:sz w:val="24"/>
                <w:szCs w:val="24"/>
                <w14:textFill>
                  <w14:solidFill>
                    <w14:schemeClr w14:val="tx1"/>
                  </w14:solidFill>
                </w14:textFill>
              </w:rPr>
              <w:t>【</w:t>
            </w:r>
            <w:r>
              <w:rPr>
                <w:rFonts w:hint="eastAsia" w:ascii="仿宋" w:hAnsi="仿宋" w:eastAsia="仿宋" w:cs="仿宋"/>
                <w:kern w:val="0"/>
                <w:sz w:val="24"/>
                <w:szCs w:val="24"/>
              </w:rPr>
              <w:t>调优计划制定与资源准备</w:t>
            </w:r>
            <w:r>
              <w:rPr>
                <w:rFonts w:hint="eastAsia" w:ascii="仿宋" w:hAnsi="仿宋" w:eastAsia="仿宋" w:cs="仿宋"/>
                <w:color w:val="000000" w:themeColor="text1"/>
                <w:kern w:val="0"/>
                <w:sz w:val="24"/>
                <w:szCs w:val="24"/>
                <w14:textFill>
                  <w14:solidFill>
                    <w14:schemeClr w14:val="tx1"/>
                  </w14:solidFill>
                </w14:textFill>
              </w:rPr>
              <w:t>】</w:t>
            </w:r>
          </w:p>
          <w:p w14:paraId="358749C7">
            <w:pPr>
              <w:numPr>
                <w:ilvl w:val="0"/>
                <w:numId w:val="0"/>
              </w:num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根据调优目标和时间要求，合理制定调优计划，包括调优步骤、预期迭代次数及评估标准。同时，准备必要的计算资源、软件工具、数据集及基准模型。</w:t>
            </w:r>
          </w:p>
          <w:p w14:paraId="51A746A1">
            <w:pPr>
              <w:adjustRightInd w:val="0"/>
              <w:snapToGrid w:val="0"/>
              <w:spacing w:line="360" w:lineRule="auto"/>
              <w:ind w:firstLine="240" w:firstLineChars="100"/>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 w:val="24"/>
                <w:szCs w:val="24"/>
                <w:lang w:val="en-US" w:eastAsia="zh-CN"/>
                <w14:textFill>
                  <w14:solidFill>
                    <w14:schemeClr w14:val="tx1"/>
                  </w14:solidFill>
                </w14:textFill>
              </w:rPr>
              <w:t>4.</w:t>
            </w:r>
            <w:r>
              <w:rPr>
                <w:rFonts w:hint="eastAsia" w:ascii="仿宋" w:hAnsi="仿宋" w:eastAsia="仿宋" w:cs="仿宋"/>
                <w:color w:val="000000" w:themeColor="text1"/>
                <w:kern w:val="0"/>
                <w:sz w:val="24"/>
                <w:szCs w:val="24"/>
                <w14:textFill>
                  <w14:solidFill>
                    <w14:schemeClr w14:val="tx1"/>
                  </w14:solidFill>
                </w14:textFill>
              </w:rPr>
              <w:t>【</w:t>
            </w:r>
            <w:r>
              <w:rPr>
                <w:rFonts w:hint="eastAsia" w:ascii="仿宋" w:hAnsi="仿宋" w:eastAsia="仿宋" w:cs="仿宋"/>
                <w:kern w:val="0"/>
                <w:sz w:val="24"/>
                <w:szCs w:val="24"/>
              </w:rPr>
              <w:t>智能模型调优实施</w:t>
            </w:r>
            <w:r>
              <w:rPr>
                <w:rFonts w:hint="eastAsia" w:ascii="仿宋" w:hAnsi="仿宋" w:eastAsia="仿宋" w:cs="仿宋"/>
                <w:color w:val="000000" w:themeColor="text1"/>
                <w:kern w:val="0"/>
                <w:sz w:val="24"/>
                <w:szCs w:val="24"/>
                <w14:textFill>
                  <w14:solidFill>
                    <w14:schemeClr w14:val="tx1"/>
                  </w14:solidFill>
                </w14:textFill>
              </w:rPr>
              <w:t>】</w:t>
            </w:r>
          </w:p>
          <w:p w14:paraId="5077D180">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对智能模型进行初步调优尝试，包括算法改进、特征工程、超参数调整及模型结构调整等，以提升模型在验证集上的性能指标。</w:t>
            </w:r>
          </w:p>
          <w:p w14:paraId="2B7D9659">
            <w:pPr>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5.</w:t>
            </w:r>
            <w:r>
              <w:rPr>
                <w:rFonts w:hint="eastAsia" w:ascii="仿宋" w:hAnsi="仿宋" w:eastAsia="仿宋" w:cs="仿宋"/>
                <w:color w:val="000000" w:themeColor="text1"/>
                <w:kern w:val="0"/>
                <w:sz w:val="24"/>
                <w:szCs w:val="24"/>
                <w14:textFill>
                  <w14:solidFill>
                    <w14:schemeClr w14:val="tx1"/>
                  </w14:solidFill>
                </w14:textFill>
              </w:rPr>
              <w:t>【</w:t>
            </w:r>
            <w:r>
              <w:rPr>
                <w:rFonts w:hint="eastAsia" w:ascii="仿宋" w:hAnsi="仿宋" w:eastAsia="仿宋" w:cs="仿宋"/>
                <w:kern w:val="0"/>
                <w:sz w:val="24"/>
                <w:szCs w:val="24"/>
              </w:rPr>
              <w:t>智能模型性能评估与迭代调优</w:t>
            </w:r>
            <w:r>
              <w:rPr>
                <w:rFonts w:hint="eastAsia" w:ascii="仿宋" w:hAnsi="仿宋" w:eastAsia="仿宋" w:cs="仿宋"/>
                <w:color w:val="000000" w:themeColor="text1"/>
                <w:kern w:val="0"/>
                <w:sz w:val="24"/>
                <w:szCs w:val="24"/>
                <w14:textFill>
                  <w14:solidFill>
                    <w14:schemeClr w14:val="tx1"/>
                  </w14:solidFill>
                </w14:textFill>
              </w:rPr>
              <w:t>】</w:t>
            </w:r>
          </w:p>
          <w:p w14:paraId="0F4AFA43">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使用定量和定性的评估方法，对调优后的模型进行全面性能评估。根据评估结果，进行迭代调优，直至达到项目要求的性能指标。</w:t>
            </w:r>
          </w:p>
          <w:p w14:paraId="44F4276F">
            <w:pPr>
              <w:adjustRightInd w:val="0"/>
              <w:snapToGrid w:val="0"/>
              <w:spacing w:line="360" w:lineRule="auto"/>
              <w:ind w:firstLine="240" w:firstLineChars="100"/>
            </w:pPr>
            <w:r>
              <w:rPr>
                <w:rFonts w:hint="eastAsia" w:ascii="仿宋" w:hAnsi="仿宋" w:eastAsia="仿宋" w:cs="仿宋"/>
                <w:kern w:val="0"/>
                <w:sz w:val="24"/>
                <w:szCs w:val="24"/>
                <w:lang w:val="en-US" w:eastAsia="zh-CN"/>
              </w:rPr>
              <w:t>6.</w:t>
            </w:r>
            <w:r>
              <w:rPr>
                <w:rFonts w:hint="eastAsia" w:ascii="仿宋" w:hAnsi="仿宋" w:eastAsia="仿宋" w:cs="仿宋"/>
                <w:color w:val="000000" w:themeColor="text1"/>
                <w:kern w:val="0"/>
                <w:sz w:val="24"/>
                <w:szCs w:val="24"/>
                <w14:textFill>
                  <w14:solidFill>
                    <w14:schemeClr w14:val="tx1"/>
                  </w14:solidFill>
                </w14:textFill>
              </w:rPr>
              <w:t>【</w:t>
            </w:r>
            <w:r>
              <w:rPr>
                <w:rFonts w:hint="eastAsia" w:ascii="仿宋" w:hAnsi="仿宋" w:eastAsia="仿宋" w:cs="仿宋"/>
                <w:kern w:val="0"/>
                <w:sz w:val="24"/>
                <w:szCs w:val="24"/>
              </w:rPr>
              <w:t>调优总结与报告撰写</w:t>
            </w:r>
            <w:r>
              <w:rPr>
                <w:rFonts w:hint="eastAsia" w:ascii="仿宋" w:hAnsi="仿宋" w:eastAsia="仿宋" w:cs="仿宋"/>
                <w:color w:val="000000" w:themeColor="text1"/>
                <w:kern w:val="0"/>
                <w:sz w:val="24"/>
                <w:szCs w:val="24"/>
                <w14:textFill>
                  <w14:solidFill>
                    <w14:schemeClr w14:val="tx1"/>
                  </w14:solidFill>
                </w14:textFill>
              </w:rPr>
              <w:t>】</w:t>
            </w:r>
          </w:p>
          <w:p w14:paraId="5A49424D">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整理调优过程中的关键步骤、参数调整记录及性能评估结果，撰写调优总结报告。同时，清理工作空间，归档调优相关文件，并规范填写工作记录单。</w:t>
            </w:r>
          </w:p>
        </w:tc>
        <w:tc>
          <w:tcPr>
            <w:tcW w:w="3888" w:type="dxa"/>
            <w:gridSpan w:val="3"/>
            <w:tcBorders>
              <w:tl2br w:val="nil"/>
              <w:tr2bl w:val="nil"/>
            </w:tcBorders>
          </w:tcPr>
          <w:p w14:paraId="629EA972">
            <w:pPr>
              <w:pStyle w:val="14"/>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工具、设备、材料：</w:t>
            </w:r>
          </w:p>
          <w:p w14:paraId="7551FE9C">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1.</w:t>
            </w:r>
            <w:r>
              <w:rPr>
                <w:rFonts w:hint="eastAsia" w:ascii="仿宋" w:hAnsi="仿宋" w:eastAsia="仿宋" w:cs="仿宋"/>
                <w:kern w:val="0"/>
                <w:sz w:val="24"/>
                <w:szCs w:val="24"/>
              </w:rPr>
              <w:t>工具：编程环境（如PyCharm, Jupyter Notebook等）、代码版本控制工具（如Git）、模型训练与调优平台、高性能计算资源（如GPU服务器）、数据可视化工具（如Matplotlib, Tableau等）、模型评估工具（如AUC-ROC曲线绘制工具）、日志分析工具等。</w:t>
            </w:r>
          </w:p>
          <w:p w14:paraId="4DB81302">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2.</w:t>
            </w:r>
            <w:r>
              <w:rPr>
                <w:rFonts w:hint="eastAsia" w:ascii="仿宋" w:hAnsi="仿宋" w:eastAsia="仿宋" w:cs="仿宋"/>
                <w:kern w:val="0"/>
                <w:sz w:val="24"/>
                <w:szCs w:val="24"/>
              </w:rPr>
              <w:t>材料：数据集（训练集、验证集、测试集）、模型权重文件、预训练模型、特征工程所需的数据处理脚本、调优过程中产生的中间结果文件等。</w:t>
            </w:r>
          </w:p>
          <w:p w14:paraId="608E1CDB">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3.</w:t>
            </w:r>
            <w:r>
              <w:rPr>
                <w:rFonts w:hint="eastAsia" w:ascii="仿宋" w:hAnsi="仿宋" w:eastAsia="仿宋" w:cs="仿宋"/>
                <w:kern w:val="0"/>
                <w:sz w:val="24"/>
                <w:szCs w:val="24"/>
              </w:rPr>
              <w:t>设备：高性能计算机或服务器、存储设备（如NAS, SSD等）、网络设备（确保数据传输速度）、显示设备（用于监控调优过程）等。</w:t>
            </w:r>
          </w:p>
          <w:p w14:paraId="6CDB325C">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4.</w:t>
            </w:r>
            <w:r>
              <w:rPr>
                <w:rFonts w:hint="eastAsia" w:ascii="仿宋" w:hAnsi="仿宋" w:eastAsia="仿宋" w:cs="仿宋"/>
                <w:kern w:val="0"/>
                <w:sz w:val="24"/>
                <w:szCs w:val="24"/>
              </w:rPr>
              <w:t>资料：工作任务单、安全操作规程、模型开发文档、算法原理说明、数据集描述、调优指南、性能评估指标定义、《人工智能模型开发与管理规范》、相关行业标准与企业内部规范（如模型调优流程规范）、相关算法与技术的最新研究论文等。</w:t>
            </w:r>
          </w:p>
          <w:p w14:paraId="6D753F22">
            <w:pPr>
              <w:pStyle w:val="14"/>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工作方法：</w:t>
            </w:r>
          </w:p>
          <w:p w14:paraId="034CA56C">
            <w:pPr>
              <w:pStyle w:val="14"/>
              <w:spacing w:line="360" w:lineRule="auto"/>
              <w:ind w:firstLine="240" w:firstLineChars="100"/>
              <w:jc w:val="left"/>
              <w:rPr>
                <w:rFonts w:hint="eastAsia" w:ascii="仿宋" w:hAnsi="仿宋" w:eastAsia="仿宋" w:cs="仿宋"/>
                <w:b/>
                <w:kern w:val="0"/>
                <w:sz w:val="24"/>
                <w:szCs w:val="24"/>
              </w:rPr>
            </w:pPr>
            <w:r>
              <w:rPr>
                <w:rFonts w:hint="eastAsia" w:ascii="仿宋" w:hAnsi="仿宋" w:eastAsia="仿宋" w:cs="仿宋"/>
                <w:kern w:val="0"/>
                <w:sz w:val="24"/>
                <w:szCs w:val="24"/>
              </w:rPr>
              <w:t>首先通过深入阅读模型开发文档、算法原理说明及最新研究论文，全面获取模型背景信息及可调优空间，这是获取信息的基础阅读法。随后，与项目经理、技术主管及团队成员进行积极的面对面交流、电话或邮件沟通，确保对调优目标和期望有清晰且共同的理解。在调优过程中，会查阅相关行业标准、企业内部规范及调优指南，以获取并遵循最佳实践。实际调优工作涵盖数据预处理、特征工程优化、算法选择及改进、超参数精细调整以及模型结构的合理调整。为评估调优效果，会采用定量指标（例如准确率、召回率等）与定性分析（如模型的可解释性）相结合的方式。同时，应用6S现场管理法保持工作空间的整洁有序，以提高工作效率。最后，详细记录调优过程中的每一个关键步骤、参数调整情况及性能评估结果，并规范填写工作记录单，以便后续的分析、总结与归档。</w:t>
            </w:r>
            <w:r>
              <w:rPr>
                <w:rFonts w:hint="eastAsia" w:ascii="仿宋" w:hAnsi="仿宋" w:eastAsia="仿宋" w:cs="仿宋"/>
                <w:b/>
                <w:kern w:val="0"/>
                <w:sz w:val="24"/>
                <w:szCs w:val="24"/>
              </w:rPr>
              <w:t>劳动组织方式：</w:t>
            </w:r>
          </w:p>
          <w:p w14:paraId="257D8123">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以独立或合作的方式进行。从项目经理或技术主管处领取调优任务，根据任务需求准备必要的工具、材料及设备。在调优过程中，与团队成员保持沟通，共同解决遇到的问题。调优完成后，将调优结果及工作记录单提交给项目经理或技术主管进行验收，并根据反馈进行必要的调整。最后，整理工作空间，归档调优相关文件，并归还所用工具与设备。</w:t>
            </w:r>
          </w:p>
        </w:tc>
        <w:tc>
          <w:tcPr>
            <w:tcW w:w="3112" w:type="dxa"/>
            <w:gridSpan w:val="3"/>
            <w:tcBorders>
              <w:tl2br w:val="nil"/>
              <w:tr2bl w:val="nil"/>
            </w:tcBorders>
          </w:tcPr>
          <w:p w14:paraId="0CD5C5A9">
            <w:pPr>
              <w:pStyle w:val="14"/>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工作要求：</w:t>
            </w:r>
          </w:p>
          <w:p w14:paraId="0DD1312A">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1.</w:t>
            </w:r>
            <w:r>
              <w:rPr>
                <w:rFonts w:hint="eastAsia" w:ascii="仿宋" w:hAnsi="仿宋" w:eastAsia="仿宋" w:cs="仿宋"/>
                <w:kern w:val="0"/>
                <w:sz w:val="24"/>
                <w:szCs w:val="24"/>
              </w:rPr>
              <w:t>任务理解与沟通：</w:t>
            </w:r>
          </w:p>
          <w:p w14:paraId="4E7565D8">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深入理解任务单内容，明确调优目标、工期及具体要求。与项目经理或技术主管进行有效沟通，详细记录调优过程中的关键内容和注意事项，如模型版本的选择、超参数调整的策略、特征工程的方法等。具备出色的沟通能力，能够与团队成员及利益相关者清晰、准确地交流调优进展和结果。</w:t>
            </w:r>
          </w:p>
          <w:p w14:paraId="6C7047BA">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2.</w:t>
            </w:r>
            <w:r>
              <w:rPr>
                <w:rFonts w:hint="eastAsia" w:ascii="仿宋" w:hAnsi="仿宋" w:eastAsia="仿宋" w:cs="仿宋"/>
                <w:kern w:val="0"/>
                <w:sz w:val="24"/>
                <w:szCs w:val="24"/>
              </w:rPr>
              <w:t>安全与信息处理：</w:t>
            </w:r>
          </w:p>
          <w:p w14:paraId="22112A87">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明确调优过程中的安全注意事项，了解并遵守相关安全操作规程。熟悉调优流程、方法和技术要求，对关键信息进行标注和整理，具备高效的信息处理能力。</w:t>
            </w:r>
          </w:p>
          <w:p w14:paraId="7CAF0134">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3.</w:t>
            </w:r>
            <w:r>
              <w:rPr>
                <w:rFonts w:hint="eastAsia" w:ascii="仿宋" w:hAnsi="仿宋" w:eastAsia="仿宋" w:cs="仿宋"/>
                <w:kern w:val="0"/>
                <w:sz w:val="24"/>
                <w:szCs w:val="24"/>
              </w:rPr>
              <w:t>计划与资源准备：</w:t>
            </w:r>
          </w:p>
          <w:p w14:paraId="051C9603">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根据工期要求，制定合理的调优计划，确保每个工作日的调优任务相对独立且完整。正确选择和领取所需的调优工具、软件资源及计算设备，确保调优工作的顺利进行。</w:t>
            </w:r>
          </w:p>
          <w:p w14:paraId="333AA0FB">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4.</w:t>
            </w:r>
            <w:r>
              <w:rPr>
                <w:rFonts w:hint="eastAsia" w:ascii="仿宋" w:hAnsi="仿宋" w:eastAsia="仿宋" w:cs="仿宋"/>
                <w:kern w:val="0"/>
                <w:sz w:val="24"/>
                <w:szCs w:val="24"/>
              </w:rPr>
              <w:t>调优实施与规范操作：</w:t>
            </w:r>
          </w:p>
          <w:p w14:paraId="3A0A1260">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严格遵守安全操作规程，正确使用调优工具和软件，按照调优指南和算法原理进行模型调优。在调优过程中注意资源的合理利用和环境的保护，具备强烈的安全意识、时间意识、质量意识和环保意识。与团队成员合作解决调优过程中遇到的问题，保持耐心和细致的工作态度。</w:t>
            </w:r>
          </w:p>
          <w:p w14:paraId="194196EF">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5.</w:t>
            </w:r>
            <w:r>
              <w:rPr>
                <w:rFonts w:hint="eastAsia" w:ascii="仿宋" w:hAnsi="仿宋" w:eastAsia="仿宋" w:cs="仿宋"/>
                <w:kern w:val="0"/>
                <w:sz w:val="24"/>
                <w:szCs w:val="24"/>
              </w:rPr>
              <w:t>性能评估与单体调试：</w:t>
            </w:r>
          </w:p>
          <w:p w14:paraId="105C26F5">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按照产品说明书和性能评估指标，对调优后的模型进行全面、准确的性能评估。确保模型在验证集和测试集上均表现出色，无明显的过拟合或欠拟合现象。在工作过程中保持耐心细致，追求精益求精，确保调优结果的准确性和可靠性。</w:t>
            </w:r>
          </w:p>
          <w:p w14:paraId="2C88BEC7">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lang w:val="en-US" w:eastAsia="zh-CN"/>
              </w:rPr>
              <w:t>6.</w:t>
            </w:r>
            <w:r>
              <w:rPr>
                <w:rFonts w:hint="eastAsia" w:ascii="仿宋" w:hAnsi="仿宋" w:eastAsia="仿宋" w:cs="仿宋"/>
                <w:kern w:val="0"/>
                <w:sz w:val="24"/>
                <w:szCs w:val="24"/>
              </w:rPr>
              <w:t>管理与记录：</w:t>
            </w:r>
          </w:p>
          <w:p w14:paraId="178CB61D">
            <w:pPr>
              <w:adjustRightInd w:val="0"/>
              <w:snapToGrid w:val="0"/>
              <w:spacing w:line="360" w:lineRule="auto"/>
              <w:ind w:firstLine="240" w:firstLineChars="100"/>
              <w:rPr>
                <w:rFonts w:hint="eastAsia" w:ascii="仿宋" w:hAnsi="仿宋" w:eastAsia="仿宋" w:cs="仿宋"/>
                <w:kern w:val="0"/>
                <w:sz w:val="24"/>
                <w:szCs w:val="24"/>
              </w:rPr>
            </w:pPr>
            <w:r>
              <w:rPr>
                <w:rFonts w:hint="eastAsia" w:ascii="仿宋" w:hAnsi="仿宋" w:eastAsia="仿宋" w:cs="仿宋"/>
                <w:kern w:val="0"/>
                <w:sz w:val="24"/>
                <w:szCs w:val="24"/>
              </w:rPr>
              <w:t>严格执行6S管理规定及环保管理制度，保持工作空间的整洁和有序。规范填写工作记录单，详细记录调优过程中的关键步骤、参数调整及性能评估结果，以便后续分析和总结。</w:t>
            </w:r>
          </w:p>
        </w:tc>
      </w:tr>
      <w:tr w14:paraId="0A91F6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68253B84">
            <w:pPr>
              <w:tabs>
                <w:tab w:val="left" w:pos="3139"/>
              </w:tabs>
              <w:jc w:val="center"/>
              <w:rPr>
                <w:rFonts w:hint="eastAsia" w:ascii="仿宋" w:hAnsi="仿宋" w:eastAsia="仿宋" w:cs="仿宋"/>
                <w:bCs/>
                <w:kern w:val="0"/>
                <w:sz w:val="24"/>
                <w:szCs w:val="24"/>
              </w:rPr>
            </w:pPr>
            <w:r>
              <w:rPr>
                <w:rFonts w:hint="eastAsia" w:ascii="仿宋" w:hAnsi="仿宋" w:eastAsia="仿宋" w:cs="仿宋"/>
                <w:b/>
                <w:bCs/>
                <w:color w:val="000000"/>
                <w:kern w:val="0"/>
                <w:sz w:val="24"/>
                <w:szCs w:val="24"/>
                <w:lang w:eastAsia="zh-Hans" w:bidi="ar"/>
              </w:rPr>
              <w:t>课程</w:t>
            </w:r>
            <w:r>
              <w:rPr>
                <w:rFonts w:hint="eastAsia" w:ascii="仿宋" w:hAnsi="仿宋" w:eastAsia="仿宋" w:cs="仿宋"/>
                <w:b/>
                <w:bCs/>
                <w:color w:val="000000"/>
                <w:kern w:val="0"/>
                <w:sz w:val="24"/>
                <w:szCs w:val="24"/>
                <w:lang w:bidi="ar"/>
              </w:rPr>
              <w:t>目标</w:t>
            </w:r>
          </w:p>
        </w:tc>
      </w:tr>
      <w:tr w14:paraId="67A1777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1AD2C924">
            <w:pPr>
              <w:adjustRightInd w:val="0"/>
              <w:snapToGrid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课程目标：学习完本课程后，学生应当能全面掌握智能模型调优的核心技巧与高效方法，具体涵盖以下方面：</w:t>
            </w:r>
          </w:p>
          <w:p w14:paraId="22A71677">
            <w:pPr>
              <w:adjustRightInd w:val="0"/>
              <w:snapToGrid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lang w:val="en-US" w:eastAsia="zh-CN"/>
              </w:rPr>
              <w:t>1.</w:t>
            </w:r>
            <w:r>
              <w:rPr>
                <w:rFonts w:hint="eastAsia" w:ascii="仿宋" w:hAnsi="仿宋" w:eastAsia="仿宋" w:cs="仿宋"/>
                <w:sz w:val="24"/>
                <w:szCs w:val="24"/>
              </w:rPr>
              <w:t>任务理解与分析：学生应能准确解读项目需求，明确调优目标、期限及具体要求，与指导教师或团队成员进行有效沟通，分析并记录模型构建后的关键调优点，如算法选择、参数调整策略及数据改进方案等，展现出良好的交流与协作能力。</w:t>
            </w:r>
          </w:p>
          <w:p w14:paraId="61414F62">
            <w:pPr>
              <w:adjustRightInd w:val="0"/>
              <w:snapToGrid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lang w:val="en-US" w:eastAsia="zh-CN"/>
              </w:rPr>
              <w:t>2.</w:t>
            </w:r>
            <w:r>
              <w:rPr>
                <w:rFonts w:hint="eastAsia" w:ascii="仿宋" w:hAnsi="仿宋" w:eastAsia="仿宋" w:cs="仿宋"/>
                <w:sz w:val="24"/>
                <w:szCs w:val="24"/>
              </w:rPr>
              <w:t>知识查阅与应用：学生需能熟练查阅并理解调优相关的算法原理、最佳实践、行业标准及企业操作规范，梳理并标注调优过程中所需的关键信息，如算法性能对比、参数调优范围及数据预处理技巧等，具备出色的信息处理与应用能力。</w:t>
            </w:r>
          </w:p>
          <w:p w14:paraId="3A20BDCE">
            <w:pPr>
              <w:adjustRightInd w:val="0"/>
              <w:snapToGrid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lang w:val="en-US" w:eastAsia="zh-CN"/>
              </w:rPr>
              <w:t>3.</w:t>
            </w:r>
            <w:r>
              <w:rPr>
                <w:rFonts w:hint="eastAsia" w:ascii="仿宋" w:hAnsi="仿宋" w:eastAsia="仿宋" w:cs="仿宋"/>
                <w:sz w:val="24"/>
                <w:szCs w:val="24"/>
              </w:rPr>
              <w:t>调优策略制定与执行：学生应能根据项目时间要求，合理规划调优进度，识别并选择适合的调优工具、算法库及数据集，严格执行企业操作规范、安全生产管理制度及环保管理制度，确保调优过程的顺利进行。同时，需具备成本意识，合理选择计算资源，优化调优成本。</w:t>
            </w:r>
          </w:p>
          <w:p w14:paraId="7671D535">
            <w:pPr>
              <w:adjustRightInd w:val="0"/>
              <w:snapToGrid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lang w:val="en-US" w:eastAsia="zh-CN"/>
              </w:rPr>
              <w:t>4.</w:t>
            </w:r>
            <w:r>
              <w:rPr>
                <w:rFonts w:hint="eastAsia" w:ascii="仿宋" w:hAnsi="仿宋" w:eastAsia="仿宋" w:cs="仿宋"/>
                <w:sz w:val="24"/>
                <w:szCs w:val="24"/>
              </w:rPr>
              <w:t>模型调优实施：在指导教师或团队负责人的指导下，学生应能观察并分析模型性能瓶颈，运用所学知识，如算法优化、参数调优及数据增强等策略，对模型进行全面而细致的调优。在调优过程中，需严格遵守安全生产规定，确保调优工作的安全进行，同时注重环保意识，减少资源浪费。</w:t>
            </w:r>
          </w:p>
          <w:p w14:paraId="1915AF65">
            <w:pPr>
              <w:adjustRightInd w:val="0"/>
              <w:snapToGrid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lang w:val="en-US" w:eastAsia="zh-CN"/>
              </w:rPr>
              <w:t>5.</w:t>
            </w:r>
            <w:r>
              <w:rPr>
                <w:rFonts w:hint="eastAsia" w:ascii="仿宋" w:hAnsi="仿宋" w:eastAsia="仿宋" w:cs="仿宋"/>
                <w:sz w:val="24"/>
                <w:szCs w:val="24"/>
              </w:rPr>
              <w:t>性能评估与迭代：学生应能使用专业的评估工具及指标，对调优后的模型进行全面评估，包括准确率、召回率、F1分数等，以及模型的可解释性和泛化能力。根据评估结果，学生需能灵活调整调优策略，进行多轮迭代，直至达到项目要求的性能指标。在调优过程中，需保持耐心细致，追求精益求精。</w:t>
            </w:r>
          </w:p>
          <w:p w14:paraId="3588E42E">
            <w:pPr>
              <w:adjustRightInd w:val="0"/>
              <w:snapToGrid w:val="0"/>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lang w:val="en-US" w:eastAsia="zh-CN"/>
              </w:rPr>
              <w:t>6.</w:t>
            </w:r>
            <w:r>
              <w:rPr>
                <w:rFonts w:hint="eastAsia" w:ascii="仿宋" w:hAnsi="仿宋" w:eastAsia="仿宋" w:cs="仿宋"/>
                <w:sz w:val="24"/>
                <w:szCs w:val="24"/>
              </w:rPr>
              <w:t>项目总结与规范：调优完成后，学生应能按照8S管理规定，清理工作现场，归置相关物品，确保工作环境的整洁与有序。同时，需规范填写工作记录单，详细记录调优过程中的关键步骤、参数调整及性能评估结果，以便后续分析与总结。此外，学生还应严格遵守从业人员的职业道德，养成环保意识、成本意识和安全意识，展现出吃苦耐劳、爱岗敬业、爱护设备设施、节约用电用料、安全施工等良好的工作态度和职业素养。</w:t>
            </w:r>
          </w:p>
          <w:p w14:paraId="1D7679A2">
            <w:pPr>
              <w:adjustRightInd w:val="0"/>
              <w:snapToGrid w:val="0"/>
              <w:spacing w:line="360" w:lineRule="auto"/>
              <w:ind w:firstLine="240" w:firstLineChars="100"/>
              <w:rPr>
                <w:rFonts w:hint="eastAsia" w:ascii="仿宋" w:hAnsi="仿宋" w:eastAsia="仿宋" w:cs="仿宋"/>
                <w:bCs/>
                <w:kern w:val="0"/>
                <w:sz w:val="24"/>
                <w:szCs w:val="24"/>
              </w:rPr>
            </w:pPr>
            <w:r>
              <w:rPr>
                <w:rFonts w:hint="eastAsia" w:ascii="仿宋" w:hAnsi="仿宋" w:eastAsia="仿宋" w:cs="仿宋"/>
                <w:sz w:val="24"/>
                <w:szCs w:val="24"/>
              </w:rPr>
              <w:t>综上所述，通过本课程的学习，学生将全面掌握智能模型调优的技巧与方法，能够在实际项目中灵活运用所学知识，提高模型的性能和效果，同时养成良好的工作态度和职业素养。</w:t>
            </w:r>
          </w:p>
        </w:tc>
      </w:tr>
      <w:tr w14:paraId="742FCB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0BA6D5F5">
            <w:pPr>
              <w:tabs>
                <w:tab w:val="left" w:pos="3139"/>
              </w:tabs>
              <w:jc w:val="center"/>
              <w:rPr>
                <w:rFonts w:hint="eastAsia" w:ascii="仿宋" w:hAnsi="仿宋" w:eastAsia="仿宋" w:cs="仿宋"/>
                <w:kern w:val="0"/>
                <w:sz w:val="24"/>
                <w:szCs w:val="24"/>
              </w:rPr>
            </w:pPr>
            <w:r>
              <w:rPr>
                <w:rFonts w:hint="eastAsia" w:ascii="仿宋" w:hAnsi="仿宋" w:eastAsia="仿宋" w:cs="仿宋"/>
                <w:b/>
                <w:bCs/>
                <w:color w:val="000000"/>
                <w:kern w:val="0"/>
                <w:sz w:val="24"/>
                <w:szCs w:val="24"/>
                <w:lang w:bidi="ar"/>
              </w:rPr>
              <w:t>学习内容</w:t>
            </w:r>
          </w:p>
        </w:tc>
      </w:tr>
      <w:tr w14:paraId="43879C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448E6627">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本课程的主要学习内容包括：</w:t>
            </w:r>
          </w:p>
          <w:p w14:paraId="658567FE">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一、算法评估与测试策略深入解析</w:t>
            </w:r>
          </w:p>
          <w:p w14:paraId="527E7520">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实践知识：</w:t>
            </w:r>
          </w:p>
          <w:p w14:paraId="0908DB8A">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性能评估方法：学生将深入学习并掌握多种算法性能评估的具体操作，包括但不限于时间复杂度与空间复杂度的分析，以及准确率、召回率、F1分数等关键性能指标的计算方法。通过实际操作，学生将学会如何根据具体任务需求选择合适的评估指标。</w:t>
            </w:r>
          </w:p>
          <w:p w14:paraId="662408F0">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测试策略实施：课程将涵盖从单元测试到系统测试的全流程，重点讲解交叉验证、A/B测试等高级测试策略的应用。学生将通过实践，理解不同测试策略的设计原理、实施步骤及结果解读，确保模型在多种数据集和条件下的稳定性和泛化能力。</w:t>
            </w:r>
          </w:p>
          <w:p w14:paraId="666E0670">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自动化测试工具：介绍并实践使用自动化测试工具和框架，如JUnit、pytest等，以提高测试效率和准确性。学生将学习如何编写测试用例、配置测试环境，以及如何利用持续集成/持续部署(CI/CD)管道进行自动化测试。</w:t>
            </w:r>
          </w:p>
          <w:p w14:paraId="240B8A75">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03B64A59">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算法原理与适用场景：深入剖析各类算法的基本原理、优缺点及适用场景，为算法选择和调优提供坚实的理论基础。学生将理解算法背后的数学逻辑，以及如何在特定问题中灵活运用。</w:t>
            </w:r>
          </w:p>
          <w:p w14:paraId="1156822C">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测试策略设计：详细讲解测试策略的设计原则、实施步骤及评估标准，强调测试的全面性、有效性和可重复性。学生将学习如何根据项目需求制定测试计划，确保测试覆盖所有关键功能和边界条件。</w:t>
            </w:r>
          </w:p>
          <w:p w14:paraId="4818E169">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二、特定领域模型与定制化算法设计</w:t>
            </w:r>
          </w:p>
          <w:p w14:paraId="2B55837C">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实践知识：</w:t>
            </w:r>
          </w:p>
          <w:p w14:paraId="35722E99">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领域模型设计：针对图像识别、自然语言处理、推荐系统等特定领域，学生将学习并实践设计专门的算法和模型结构。通过案例分析，学生将掌握如何结合领域知识优化模型特征提取、特征选择、模型训练等关键环节。</w:t>
            </w:r>
          </w:p>
          <w:p w14:paraId="135E3821">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定制化算法实现：鼓励学生根据领域特点，设计并实现定制化算法。通过编程实践，学生将学会如何调整算法参数、优化模型架构，以提升模型在特定任务上的性能。</w:t>
            </w:r>
          </w:p>
          <w:p w14:paraId="5A085580">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实验验证与优化：通过实验验证算法和模型的有效性，学生将学习如何收集和分析实验数据，不断调整和优化模型，以达到最佳效果。课程将强调实验设计的科学性和严谨性。</w:t>
            </w:r>
          </w:p>
          <w:p w14:paraId="6D794C42">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71F83F1F">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领域模型基础：介绍特定领域模型的基本概念、架构及工作原理，使学生了解领域内的前沿技术和研究成果。课程将涵盖深度学习、强化学习、图神经网络等先进技术在各领域的应用。</w:t>
            </w:r>
          </w:p>
          <w:p w14:paraId="13F2C827">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算法设计原则：讲解算法设计的原则、方法及优化策略，包括算法复杂度分析、参数选择、收敛性证明等。学生将学习如何根据问题特性选择合适的算法，并理解算法优化中的关键问题和挑战。</w:t>
            </w:r>
          </w:p>
          <w:p w14:paraId="438955B3">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三、超参数调优方法与实战技巧</w:t>
            </w:r>
          </w:p>
          <w:p w14:paraId="12B3660E">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实践知识：</w:t>
            </w:r>
          </w:p>
          <w:p w14:paraId="6001EFEC">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超参数选择与调整：学生将熟练掌握超参数（如学习率、批大小、隐藏层数、正则化系数等）的选择与调整方法。通过实践，学生将学会如何根据模型性能和训练过程动态调整超参数。</w:t>
            </w:r>
          </w:p>
          <w:p w14:paraId="46AB07A0">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高级调优技术：介绍并实践网格搜索、随机搜索、贝叶斯优化等高级调优技术。学生将学习如何利用这些技术高效地搜索超参数空间，找到最优解。</w:t>
            </w:r>
          </w:p>
          <w:p w14:paraId="66BE096D">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调优工具使用：课程将涵盖超参数调优工具（如Hyperopt、Optuna等）的使用。学生将学会如何配置调优任务、分析调优结果，并利用工具进行自动化调优。</w:t>
            </w:r>
          </w:p>
          <w:p w14:paraId="738FBA14">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085E4D0E">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超参数调优原理：深入讲解超参数的概念、作用及影响，使学生理解超参数调优的基本原理和方法。课程将涵盖超参数调优中的关键问题和挑战，如搜索空间的设计、评估指标的选择、调优过程的收敛性等。</w:t>
            </w:r>
          </w:p>
          <w:p w14:paraId="6AEDC923">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调优策略与优化：介绍超参数调优中的常见策略和优化方法，如早停法、学习率衰减等。学生将学习如何结合具体问题和模型特点选择合适的调优策略和优化方法。</w:t>
            </w:r>
          </w:p>
          <w:p w14:paraId="1CF09B0C">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四、经验总结与工匠精神传承</w:t>
            </w:r>
          </w:p>
          <w:p w14:paraId="4ABC4D33">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实践知识：</w:t>
            </w:r>
          </w:p>
          <w:p w14:paraId="30ECDC70">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经验总结方法：通过大量实践，学生将学会如何总结经验教训，形成一套行之有效的模型调优方法论。课程将鼓励学生分享自己的调优经验和技巧，促进知识交流和技能提升。</w:t>
            </w:r>
          </w:p>
          <w:p w14:paraId="08D892F6">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工匠精神实践：强调工匠精神在模型调优中的重要性。学生将学习如何注重细节、追求极致，不断尝试新的方法和思路，直到找到最佳解决方案。课程将鼓励学生保持耐心和细致，对待每一个调优任务都认真负责。</w:t>
            </w:r>
          </w:p>
          <w:p w14:paraId="38075D88">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团队协作与分享：通过团队协作和分享，学生将学会如何与他人合作进行模型调优，共同解决问题。课程将培养学生的团队协作能力和沟通技巧，为未来的职业发展奠定基础。</w:t>
            </w:r>
          </w:p>
          <w:p w14:paraId="5CAFEB2C">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37A7CB9E">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经验总结的意义：讲解经验总结的意义和价值，使学生理解经验总结在职业发展中的重要性。课程将介绍经验总结的方法和技巧，帮助学生更好地整理和提炼自己的调优经验。</w:t>
            </w:r>
          </w:p>
          <w:p w14:paraId="7A8702E7">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工匠精神的内涵：深入剖析工匠精神的核心内涵和具体要求，使学生理解工匠精神在模型调优中的体现和重要性。课程将鼓励学生将工匠精神融入日常工作中，不断提升自己的专业素养和技能水平。</w:t>
            </w:r>
          </w:p>
          <w:p w14:paraId="572CB78D">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五、职业素养与责任心培养</w:t>
            </w:r>
          </w:p>
          <w:p w14:paraId="05FEC577">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实践知识：</w:t>
            </w:r>
          </w:p>
          <w:p w14:paraId="39F14F69">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职业素养培养：在模型调优过程中，注重培养学生的职业素养，包括时间管理、质量控制、团队协作等方面。通过实践，学生将学会如何高效管理时间、保证工作质量，并与团队成员保持良好的沟通和协作。</w:t>
            </w:r>
          </w:p>
          <w:p w14:paraId="159D39B9">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责任心体现：面对调优难题时，鼓励学生保持耐心和细致，不断尝试新的方法和思路，直到找到最佳解决方案。通过实践，学生将学会如何对自己的调优结果负责，确保模型的稳定性和可靠性。</w:t>
            </w:r>
          </w:p>
          <w:p w14:paraId="29B0FD64">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业务发展与用户体验：强调模型调优在业务发展和用户体验中的重要性。学生将学习如何根据业务需求进行模型调优，以提升业务性能和用户体验。</w:t>
            </w:r>
          </w:p>
          <w:p w14:paraId="5E106F3F">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理论知识：</w:t>
            </w:r>
          </w:p>
          <w:p w14:paraId="3002E2D1">
            <w:pPr>
              <w:tabs>
                <w:tab w:val="left" w:pos="3139"/>
              </w:tabs>
              <w:spacing w:line="360" w:lineRule="auto"/>
              <w:ind w:firstLine="240" w:firstLineChars="100"/>
              <w:rPr>
                <w:rFonts w:hint="eastAsia" w:ascii="仿宋" w:hAnsi="仿宋" w:eastAsia="仿宋" w:cs="仿宋"/>
                <w:sz w:val="24"/>
                <w:szCs w:val="24"/>
              </w:rPr>
            </w:pPr>
            <w:r>
              <w:rPr>
                <w:rFonts w:hint="eastAsia" w:ascii="仿宋" w:hAnsi="仿宋" w:eastAsia="仿宋" w:cs="仿宋"/>
                <w:sz w:val="24"/>
                <w:szCs w:val="24"/>
              </w:rPr>
              <w:t>职业素养概念：详细介绍职业素养的概念、内容及提升方法，使学生明确职业素养在职业发展中的重要性。课程将涵盖职业道德、职业态度、职业技能等多个方面，帮助学生全面提升自己的职业素养。</w:t>
            </w:r>
          </w:p>
          <w:p w14:paraId="712AB60D">
            <w:pPr>
              <w:tabs>
                <w:tab w:val="left" w:pos="3139"/>
              </w:tabs>
              <w:spacing w:line="360" w:lineRule="auto"/>
              <w:ind w:firstLine="240" w:firstLineChars="100"/>
              <w:rPr>
                <w:rFonts w:hint="eastAsia" w:ascii="仿宋" w:hAnsi="仿宋" w:eastAsia="仿宋" w:cs="仿宋"/>
                <w:kern w:val="0"/>
                <w:sz w:val="24"/>
                <w:szCs w:val="24"/>
              </w:rPr>
            </w:pPr>
            <w:r>
              <w:rPr>
                <w:rFonts w:hint="eastAsia" w:ascii="仿宋" w:hAnsi="仿宋" w:eastAsia="仿宋" w:cs="仿宋"/>
                <w:sz w:val="24"/>
                <w:szCs w:val="24"/>
              </w:rPr>
              <w:t>责任心培养：讲解责任心的内涵和要求，使学生在模型调优过程中始终保持高度的责任感和使命感。课程将强调责任心对于个人成长和团队成功的重要性，鼓励学生将责任心融入日常工作中。</w:t>
            </w:r>
          </w:p>
        </w:tc>
      </w:tr>
      <w:tr w14:paraId="1AF894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tcBorders>
              <w:tl2br w:val="nil"/>
              <w:tr2bl w:val="nil"/>
            </w:tcBorders>
            <w:vAlign w:val="center"/>
          </w:tcPr>
          <w:p w14:paraId="51AE7954">
            <w:pPr>
              <w:tabs>
                <w:tab w:val="left" w:pos="29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学习</w:t>
            </w:r>
            <w:r>
              <w:rPr>
                <w:rFonts w:hint="eastAsia" w:ascii="仿宋" w:hAnsi="仿宋" w:eastAsia="仿宋" w:cs="仿宋"/>
                <w:b/>
                <w:bCs/>
                <w:kern w:val="0"/>
                <w:sz w:val="24"/>
                <w:szCs w:val="24"/>
                <w:lang w:eastAsia="zh-Hans"/>
              </w:rPr>
              <w:t>任务</w:t>
            </w:r>
          </w:p>
        </w:tc>
      </w:tr>
      <w:tr w14:paraId="6964CD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3FF84A3E">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序号</w:t>
            </w:r>
          </w:p>
        </w:tc>
        <w:tc>
          <w:tcPr>
            <w:tcW w:w="2462" w:type="dxa"/>
            <w:gridSpan w:val="3"/>
            <w:tcBorders>
              <w:tl2br w:val="nil"/>
              <w:tr2bl w:val="nil"/>
            </w:tcBorders>
            <w:vAlign w:val="center"/>
          </w:tcPr>
          <w:p w14:paraId="74E47A7F">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学习任务名称</w:t>
            </w:r>
          </w:p>
        </w:tc>
        <w:tc>
          <w:tcPr>
            <w:tcW w:w="4863" w:type="dxa"/>
            <w:gridSpan w:val="3"/>
            <w:tcBorders>
              <w:tl2br w:val="nil"/>
              <w:tr2bl w:val="nil"/>
            </w:tcBorders>
            <w:vAlign w:val="center"/>
          </w:tcPr>
          <w:p w14:paraId="7A9C7D57">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lang w:val="en-US" w:eastAsia="zh-CN"/>
              </w:rPr>
              <w:t>学习</w:t>
            </w:r>
            <w:r>
              <w:rPr>
                <w:rFonts w:hint="eastAsia" w:ascii="仿宋" w:hAnsi="仿宋" w:eastAsia="仿宋" w:cs="仿宋"/>
                <w:b/>
                <w:bCs/>
                <w:kern w:val="0"/>
                <w:sz w:val="24"/>
                <w:szCs w:val="24"/>
              </w:rPr>
              <w:t>任务描述</w:t>
            </w:r>
          </w:p>
        </w:tc>
        <w:tc>
          <w:tcPr>
            <w:tcW w:w="1587" w:type="dxa"/>
            <w:tcBorders>
              <w:tl2br w:val="nil"/>
              <w:tr2bl w:val="nil"/>
            </w:tcBorders>
            <w:vAlign w:val="center"/>
          </w:tcPr>
          <w:p w14:paraId="51FB9F1D">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学时</w:t>
            </w:r>
          </w:p>
        </w:tc>
      </w:tr>
      <w:tr w14:paraId="4F3398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54" w:hRule="atLeast"/>
        </w:trPr>
        <w:tc>
          <w:tcPr>
            <w:tcW w:w="825" w:type="dxa"/>
            <w:tcBorders>
              <w:tl2br w:val="nil"/>
              <w:tr2bl w:val="nil"/>
            </w:tcBorders>
            <w:vAlign w:val="top"/>
          </w:tcPr>
          <w:p w14:paraId="484825DB">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1</w:t>
            </w:r>
          </w:p>
        </w:tc>
        <w:tc>
          <w:tcPr>
            <w:tcW w:w="2462" w:type="dxa"/>
            <w:gridSpan w:val="3"/>
            <w:tcBorders>
              <w:tl2br w:val="nil"/>
              <w:tr2bl w:val="nil"/>
            </w:tcBorders>
            <w:vAlign w:val="top"/>
          </w:tcPr>
          <w:p w14:paraId="01DC3127">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算法比较与测试策略</w:t>
            </w:r>
          </w:p>
        </w:tc>
        <w:tc>
          <w:tcPr>
            <w:tcW w:w="4863" w:type="dxa"/>
            <w:gridSpan w:val="3"/>
            <w:tcBorders>
              <w:tl2br w:val="nil"/>
              <w:tr2bl w:val="nil"/>
            </w:tcBorders>
            <w:vAlign w:val="top"/>
          </w:tcPr>
          <w:p w14:paraId="7C65118F">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比较多个算法的优劣，学习如何选择合适的测试策略来评估算法性能。</w:t>
            </w:r>
          </w:p>
        </w:tc>
        <w:tc>
          <w:tcPr>
            <w:tcW w:w="1587" w:type="dxa"/>
            <w:tcBorders>
              <w:tl2br w:val="nil"/>
              <w:tr2bl w:val="nil"/>
            </w:tcBorders>
            <w:vAlign w:val="top"/>
          </w:tcPr>
          <w:p w14:paraId="32962C25">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20</w:t>
            </w:r>
          </w:p>
        </w:tc>
      </w:tr>
      <w:tr w14:paraId="4E64D6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top"/>
          </w:tcPr>
          <w:p w14:paraId="4A64D2C8">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2</w:t>
            </w:r>
          </w:p>
        </w:tc>
        <w:tc>
          <w:tcPr>
            <w:tcW w:w="2462" w:type="dxa"/>
            <w:gridSpan w:val="3"/>
            <w:tcBorders>
              <w:tl2br w:val="nil"/>
              <w:tr2bl w:val="nil"/>
            </w:tcBorders>
            <w:vAlign w:val="top"/>
          </w:tcPr>
          <w:p w14:paraId="60967194">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特定领域模型与算法设计</w:t>
            </w:r>
          </w:p>
        </w:tc>
        <w:tc>
          <w:tcPr>
            <w:tcW w:w="4863" w:type="dxa"/>
            <w:gridSpan w:val="3"/>
            <w:tcBorders>
              <w:tl2br w:val="nil"/>
              <w:tr2bl w:val="nil"/>
            </w:tcBorders>
            <w:vAlign w:val="top"/>
          </w:tcPr>
          <w:p w14:paraId="142F9FF9">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针对特定领域的模型，学习如何选择和设计专门的算法和模型结构，以满足领域需求。</w:t>
            </w:r>
          </w:p>
        </w:tc>
        <w:tc>
          <w:tcPr>
            <w:tcW w:w="1587" w:type="dxa"/>
            <w:tcBorders>
              <w:tl2br w:val="nil"/>
              <w:tr2bl w:val="nil"/>
            </w:tcBorders>
            <w:vAlign w:val="top"/>
          </w:tcPr>
          <w:p w14:paraId="31873D8E">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30</w:t>
            </w:r>
          </w:p>
        </w:tc>
      </w:tr>
      <w:tr w14:paraId="5E704E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top"/>
          </w:tcPr>
          <w:p w14:paraId="30119CB7">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3</w:t>
            </w:r>
          </w:p>
        </w:tc>
        <w:tc>
          <w:tcPr>
            <w:tcW w:w="2462" w:type="dxa"/>
            <w:gridSpan w:val="3"/>
            <w:tcBorders>
              <w:tl2br w:val="nil"/>
              <w:tr2bl w:val="nil"/>
            </w:tcBorders>
            <w:vAlign w:val="top"/>
          </w:tcPr>
          <w:p w14:paraId="5273C843">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超参数调优方法</w:t>
            </w:r>
          </w:p>
        </w:tc>
        <w:tc>
          <w:tcPr>
            <w:tcW w:w="4863" w:type="dxa"/>
            <w:gridSpan w:val="3"/>
            <w:tcBorders>
              <w:tl2br w:val="nil"/>
              <w:tr2bl w:val="nil"/>
            </w:tcBorders>
            <w:vAlign w:val="top"/>
          </w:tcPr>
          <w:p w14:paraId="28C2179F">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深入掌握超参数调优方法，包括学习率、批大小、隐藏层数等参数的调整，以优化模型性能。</w:t>
            </w:r>
          </w:p>
        </w:tc>
        <w:tc>
          <w:tcPr>
            <w:tcW w:w="1587" w:type="dxa"/>
            <w:tcBorders>
              <w:tl2br w:val="nil"/>
              <w:tr2bl w:val="nil"/>
            </w:tcBorders>
            <w:vAlign w:val="top"/>
          </w:tcPr>
          <w:p w14:paraId="2A6A5D46">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40</w:t>
            </w:r>
          </w:p>
        </w:tc>
      </w:tr>
      <w:tr w14:paraId="6BFFC07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top"/>
          </w:tcPr>
          <w:p w14:paraId="267C934A">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4</w:t>
            </w:r>
          </w:p>
        </w:tc>
        <w:tc>
          <w:tcPr>
            <w:tcW w:w="2462" w:type="dxa"/>
            <w:gridSpan w:val="3"/>
            <w:tcBorders>
              <w:tl2br w:val="nil"/>
              <w:tr2bl w:val="nil"/>
            </w:tcBorders>
            <w:vAlign w:val="top"/>
          </w:tcPr>
          <w:p w14:paraId="51FFD8B0">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项目实践：技术实现与调优</w:t>
            </w:r>
          </w:p>
        </w:tc>
        <w:tc>
          <w:tcPr>
            <w:tcW w:w="4863" w:type="dxa"/>
            <w:gridSpan w:val="3"/>
            <w:tcBorders>
              <w:tl2br w:val="nil"/>
              <w:tr2bl w:val="nil"/>
            </w:tcBorders>
            <w:vAlign w:val="top"/>
          </w:tcPr>
          <w:p w14:paraId="6E88D9B4">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结合实际项目，进行模型的技术实现，包括数据预处理、模型搭建、训练及调优全过程，提升技术实践能力。</w:t>
            </w:r>
          </w:p>
        </w:tc>
        <w:tc>
          <w:tcPr>
            <w:tcW w:w="1587" w:type="dxa"/>
            <w:tcBorders>
              <w:tl2br w:val="nil"/>
              <w:tr2bl w:val="nil"/>
            </w:tcBorders>
            <w:vAlign w:val="top"/>
          </w:tcPr>
          <w:p w14:paraId="3FDDE290">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30</w:t>
            </w:r>
          </w:p>
        </w:tc>
      </w:tr>
      <w:tr w14:paraId="5D68A9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top"/>
          </w:tcPr>
          <w:p w14:paraId="5C936233">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5</w:t>
            </w:r>
          </w:p>
        </w:tc>
        <w:tc>
          <w:tcPr>
            <w:tcW w:w="2462" w:type="dxa"/>
            <w:gridSpan w:val="3"/>
            <w:tcBorders>
              <w:tl2br w:val="nil"/>
              <w:tr2bl w:val="nil"/>
            </w:tcBorders>
            <w:vAlign w:val="top"/>
          </w:tcPr>
          <w:p w14:paraId="6642D8B0">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项目实践：经验总结与报告</w:t>
            </w:r>
          </w:p>
        </w:tc>
        <w:tc>
          <w:tcPr>
            <w:tcW w:w="4863" w:type="dxa"/>
            <w:gridSpan w:val="3"/>
            <w:tcBorders>
              <w:tl2br w:val="nil"/>
              <w:tr2bl w:val="nil"/>
            </w:tcBorders>
            <w:vAlign w:val="top"/>
          </w:tcPr>
          <w:p w14:paraId="325AD32F">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在项目实践基础上，总结调优经验，分析模型性能提升的关键因素，撰写项目报告，培养项目管理和报告撰写能力。</w:t>
            </w:r>
          </w:p>
        </w:tc>
        <w:tc>
          <w:tcPr>
            <w:tcW w:w="1587" w:type="dxa"/>
            <w:tcBorders>
              <w:tl2br w:val="nil"/>
              <w:tr2bl w:val="nil"/>
            </w:tcBorders>
            <w:vAlign w:val="top"/>
          </w:tcPr>
          <w:p w14:paraId="38D92365">
            <w:pPr>
              <w:tabs>
                <w:tab w:val="left" w:pos="3139"/>
              </w:tabs>
              <w:spacing w:line="360" w:lineRule="auto"/>
              <w:ind w:firstLine="240" w:firstLineChars="100"/>
              <w:rPr>
                <w:rFonts w:hint="eastAsia" w:ascii="仿宋" w:hAnsi="仿宋" w:eastAsia="仿宋" w:cs="仿宋"/>
                <w:sz w:val="24"/>
                <w:szCs w:val="24"/>
              </w:rPr>
            </w:pPr>
            <w:r>
              <w:rPr>
                <w:rFonts w:hint="default" w:ascii="仿宋" w:hAnsi="仿宋" w:eastAsia="仿宋" w:cs="仿宋"/>
                <w:sz w:val="24"/>
                <w:szCs w:val="24"/>
                <w:lang w:val="en-US" w:eastAsia="zh-CN"/>
              </w:rPr>
              <w:t>20</w:t>
            </w:r>
          </w:p>
        </w:tc>
      </w:tr>
      <w:tr w14:paraId="7210FD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tcBorders>
              <w:tl2br w:val="nil"/>
              <w:tr2bl w:val="nil"/>
            </w:tcBorders>
            <w:vAlign w:val="center"/>
          </w:tcPr>
          <w:p w14:paraId="1A2DE8B8">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教学实施建议</w:t>
            </w:r>
          </w:p>
        </w:tc>
      </w:tr>
      <w:tr w14:paraId="15FBBDA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tcBorders>
              <w:tl2br w:val="nil"/>
              <w:tr2bl w:val="nil"/>
            </w:tcBorders>
            <w:vAlign w:val="center"/>
          </w:tcPr>
          <w:p w14:paraId="186F6B4A">
            <w:pPr>
              <w:tabs>
                <w:tab w:val="left" w:pos="3139"/>
              </w:tabs>
              <w:spacing w:line="360" w:lineRule="auto"/>
              <w:ind w:firstLine="482" w:firstLineChars="200"/>
              <w:jc w:val="left"/>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教学实施与建议：</w:t>
            </w:r>
          </w:p>
          <w:p w14:paraId="4E2102A7">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1.对于该课程的授课教师，应提出胜任本课程教学所需的教学能力、专业能力等方面要求。</w:t>
            </w:r>
          </w:p>
          <w:p w14:paraId="0FACA89F">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2.对于该课程的教学场地及设备，应提出配备的场地面积、设备要求、工位布置、工具材料、教学设备等建议。</w:t>
            </w:r>
          </w:p>
          <w:p w14:paraId="576E1A28">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3.对于该课程的教学资料，应提出所需教材、工作页、信息页、工具书、数字化资源的名称、数量、来源等建议。</w:t>
            </w:r>
          </w:p>
          <w:p w14:paraId="2307C1A9">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4.对于该课程的教学组织方式方法，应以学生为中心理念提出能培养学生职业能力与职业素养高度融合的教学组织形式和教学方法，让学生始终在行动的过程中实现学习。</w:t>
            </w:r>
          </w:p>
          <w:p w14:paraId="630433D8">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（一）教学条件</w:t>
            </w:r>
          </w:p>
          <w:p w14:paraId="0EFE6C33">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1.场地：一体化教室，具备良好的安全、照明和通风条件，可分为集中教学区、方案讨论区、成果展示区，能容纳50-60名学生，提供互联网接入；</w:t>
            </w:r>
          </w:p>
          <w:p w14:paraId="37AD3DFD">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2.设备：教师用台式电脑、投影仪、屏幕、音箱、学生自带笔记本电脑；</w:t>
            </w:r>
          </w:p>
          <w:p w14:paraId="29585A03">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3.资料：学习任务书（工作页）、教学资源库、评价表、教材（讲义）、参考书、优秀作品范例、素材网站范例等。</w:t>
            </w:r>
          </w:p>
          <w:p w14:paraId="7DDDC7F6">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（二）教学组织形式</w:t>
            </w:r>
          </w:p>
          <w:p w14:paraId="63789E0A">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以独立或小组合作的方式进行，学生从教师（主管）处领取工作任务，与教师（主管）进行沟通，明确工作时间与要求，初稿完成后交教师（主管）审核，根据反馈意见进行修改，直至完稿。</w:t>
            </w:r>
          </w:p>
          <w:p w14:paraId="532D13E0">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（三）实施过程</w:t>
            </w:r>
          </w:p>
          <w:p w14:paraId="1423A56E">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p>
          <w:p w14:paraId="61E8CB4A">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（四）教学组织</w:t>
            </w:r>
          </w:p>
          <w:p w14:paraId="727991FA">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1.教学方法建议</w:t>
            </w:r>
          </w:p>
          <w:p w14:paraId="31742558">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采用行动导向的教学方法。为确保教学安全，提高教学效果，建议采用集中教学、分别辅导的形式；在完成工作任务的过程中，教师须加强示范与指导，注重学生职业素养和规范操作的培养。</w:t>
            </w:r>
          </w:p>
          <w:p w14:paraId="269D1442">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2.教学条件基本要求</w:t>
            </w:r>
          </w:p>
          <w:p w14:paraId="0960A038">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课程要求在支持理论实践一体化的教室中完成，以实现“教、学、练、训”相结合，以便更好的在教学中组织、引导学生完成学习内容。</w:t>
            </w:r>
          </w:p>
          <w:p w14:paraId="351A431D">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3.教学资源库基本要求</w:t>
            </w:r>
          </w:p>
          <w:p w14:paraId="7672CED8">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任课教师应充分发挥自身专业优势，自行制作相关符合学生课内实训要求的视频素材，配备参考书、优秀作品范例、素材网站范例。并充分利用互联网相关教学资源，完成教学任务。</w:t>
            </w:r>
          </w:p>
          <w:p w14:paraId="5A14EB0E">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4.教材参考要求</w:t>
            </w:r>
          </w:p>
          <w:p w14:paraId="427C2676">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以工作页为主，配备相关教材、安全操作规程、产品说明书、装配文件、工艺规范、产品功能测试文件、规范 / 标准文件、网络在线教学资源等资料。</w:t>
            </w:r>
          </w:p>
          <w:p w14:paraId="7C32500C">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（五）教学建议</w:t>
            </w:r>
          </w:p>
          <w:p w14:paraId="4603825C">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1.教学过程中应特别关注操作规范和国家标准的应用。</w:t>
            </w:r>
          </w:p>
          <w:p w14:paraId="70D892DA">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2.可将学生进行分组，分别进行任务实施和工作页的填写。</w:t>
            </w:r>
          </w:p>
          <w:p w14:paraId="680C6B2C">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3.提供可接入互联网的工作站进行查阅资料，采用多媒体教学手段。</w:t>
            </w:r>
          </w:p>
          <w:p w14:paraId="374B9A6D">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4.教学实施过程中要注意强调安全操作的重要性。</w:t>
            </w:r>
          </w:p>
          <w:p w14:paraId="43CCF7CF">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5.教学实施过程中要注重软件工具使用的规范性。</w:t>
            </w:r>
          </w:p>
          <w:p w14:paraId="6EFA8031">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6.教师在授课过程中应更多地引导学生自主学习，成为学生学习的咨询者、促进者、动员者、监督者以及学习绩效的评估和改善者。</w:t>
            </w:r>
          </w:p>
          <w:p w14:paraId="33F676D2">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7.要设计具有实际使用价值的工作任务，激发学生的学习兴趣。</w:t>
            </w:r>
          </w:p>
          <w:p w14:paraId="18869918">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8.教学中教师要有效地组织和引导学生使用阅读、观摩、查阅资料、展示等各种学习手段，使其逐步养成按照咨询、计划、决策、实施、检查、评估六步法完成工作任务的习惯</w:t>
            </w:r>
          </w:p>
        </w:tc>
      </w:tr>
      <w:tr w14:paraId="74DC40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tl2br w:val="nil"/>
              <w:tr2bl w:val="nil"/>
            </w:tcBorders>
            <w:vAlign w:val="center"/>
          </w:tcPr>
          <w:p w14:paraId="56AFCEC3">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教学考核要求</w:t>
            </w:r>
          </w:p>
        </w:tc>
      </w:tr>
      <w:tr w14:paraId="4F3599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vAlign w:val="center"/>
          </w:tcPr>
          <w:p w14:paraId="5D20FB2D">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本课程考核采用过程性考核与终结性考核相结合的方式，旨在全面评估学生的学习成效。课程考核成绩由过程性考核（70%）和终结性考核（30%）两部分构成。</w:t>
            </w:r>
          </w:p>
          <w:p w14:paraId="5494990F">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一、过程性考核（70%）</w:t>
            </w:r>
          </w:p>
          <w:p w14:paraId="7B888715">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过程性考核成绩由四个关键学习任务的考核成绩组成，每个任务占比均为25%，具体如下：</w:t>
            </w:r>
          </w:p>
          <w:p w14:paraId="4C095406">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智能模型选择与评估</w:t>
            </w:r>
          </w:p>
          <w:p w14:paraId="361C3A98">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考核要点：学生需掌握多种智能模型的基本原理、适用场景及评估方法，能够针对具体问题选择合适的模型进行评估。</w:t>
            </w:r>
          </w:p>
          <w:p w14:paraId="4D9181E9">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考核项目：设计实验，让学生对不同模型进行性能测试，比较其优劣，并撰写实验报告。</w:t>
            </w:r>
          </w:p>
          <w:p w14:paraId="75602C7C">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特征工程与数据预处理</w:t>
            </w:r>
          </w:p>
          <w:p w14:paraId="7302A7B5">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考核要点：学生需掌握数据预处理和特征工程的技术，能够针对具体数据集进行清洗、变换、归一化等操作，并提取有效特征。</w:t>
            </w:r>
          </w:p>
          <w:p w14:paraId="7EC2A1B2">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考核项目：给定一个实际数据集，让学生进行数据预处理和特征工程，然后评估其对模型性能的影响。</w:t>
            </w:r>
          </w:p>
          <w:p w14:paraId="4CB67ED1">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超参数调优与模型训练</w:t>
            </w:r>
          </w:p>
          <w:p w14:paraId="7336F649">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考核要点：学生需掌握超参数调优的方法，包括网格搜索、随机搜索等，能够针对具体模型进行参数调整，优化模型性能。</w:t>
            </w:r>
          </w:p>
          <w:p w14:paraId="40A77EA1">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考核项目：选择一个智能模型，让学生进行超参数调优，比较调优前后的模型性能，并撰写调优报告。</w:t>
            </w:r>
          </w:p>
          <w:p w14:paraId="2026B8ED">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模型集成与融合</w:t>
            </w:r>
          </w:p>
          <w:p w14:paraId="75D3AFAE">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考核要点：学生需掌握模型集成和融合的技术，能够结合多个模型的预测结果，提高整体预测性能。</w:t>
            </w:r>
          </w:p>
          <w:p w14:paraId="75CB6F8F">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考核项目：设计实验，让学生尝试不同的模型集成方法，比较其融合效果，并撰写实验报告。</w:t>
            </w:r>
          </w:p>
          <w:p w14:paraId="2AEE2A58">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过程性考核的评分细则应细化到每个考核项目的具体技能点、学习成果和通用能力观察点，确保全面、客观地评估学生的学习情况。</w:t>
            </w:r>
          </w:p>
          <w:p w14:paraId="40C046EB">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二、终结性考核（30%）</w:t>
            </w:r>
          </w:p>
          <w:p w14:paraId="7C9D07EF">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终结性考核应围绕本课程目标，结合课程终结性考核要点，设计综合性强、实施难度适中的考核任务。本课程的终结性考核任务参照“超参数调优与模型训练”学习任务的考核要求进行设计，具体如下：</w:t>
            </w:r>
          </w:p>
          <w:p w14:paraId="46B78406">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考核任务案例：智能模型调优实战</w:t>
            </w:r>
          </w:p>
          <w:p w14:paraId="1C8783E7">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【情境描述】</w:t>
            </w:r>
          </w:p>
          <w:p w14:paraId="41A2FA06">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某企业为了提升业务预测的准确性，计划采用智能模型进行数据分析。企业已经收集了大量的历史数据，并初步确定了几个候选模型。现在需要技术人员对候选模型进行调优，以提高预测性能。技术人员需要完成数据预处理、特征工程、模型选择与评估、超参数调优及模型集成等全过程，最终提交调优后的模型和预测结果。</w:t>
            </w:r>
          </w:p>
          <w:p w14:paraId="75695D54">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【任务要求】</w:t>
            </w:r>
          </w:p>
          <w:p w14:paraId="666E9E27">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读懂工作任务单，明确工作内容、工期和要求；与企业进行有效的专业沟通，了解业务需求和数据情况。</w:t>
            </w:r>
          </w:p>
          <w:p w14:paraId="6D19797B">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对数据进行预处理和特征工程，包括数据清洗、变换、归一化及特征选择等，形成可用于模型训练的数据集。</w:t>
            </w:r>
          </w:p>
          <w:p w14:paraId="326F0356">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选择合适的候选模型进行训练，评估其性能，并根据评估结果进行模型选择和调优。</w:t>
            </w:r>
          </w:p>
          <w:p w14:paraId="125906D1">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使用超参数调优方法（如网格搜索、随机搜索等）对选定模型进行参数调整，优化模型性能。</w:t>
            </w:r>
          </w:p>
          <w:p w14:paraId="63FA71D3">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尝试不同的模型集成方法（如Bagging、Boosting等），结合多个模型的预测结果，提高整体预测性能。</w:t>
            </w:r>
          </w:p>
          <w:p w14:paraId="1D1C610F">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提交调优后的模型和预测结果，撰写调优报告，总结调优过程中的经验和教训。</w:t>
            </w:r>
          </w:p>
          <w:p w14:paraId="1FC179EC">
            <w:pPr>
              <w:tabs>
                <w:tab w:val="left" w:pos="3139"/>
              </w:tabs>
              <w:spacing w:line="360" w:lineRule="auto"/>
              <w:ind w:firstLine="48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color w:val="000000"/>
                <w:kern w:val="0"/>
                <w:sz w:val="24"/>
                <w:szCs w:val="24"/>
                <w:lang w:eastAsia="zh-Hans" w:bidi="ar"/>
              </w:rPr>
              <w:t>通过终结性考核，旨在全面评估学生的智能模型调优能力，包括数据预处理、特征工程、模型选择与评估、超参数调优及模型集成等方面的综合能力。同时，也考察学生的问题解决能力、沟通能力和职业素养等。</w:t>
            </w:r>
          </w:p>
          <w:p w14:paraId="7193FE7F">
            <w:pPr>
              <w:pStyle w:val="15"/>
              <w:spacing w:before="1" w:line="180" w:lineRule="auto"/>
              <w:ind w:left="166"/>
              <w:rPr>
                <w:rFonts w:hint="eastAsia" w:ascii="仿宋" w:hAnsi="仿宋" w:eastAsia="仿宋" w:cs="仿宋"/>
                <w:sz w:val="24"/>
                <w:szCs w:val="24"/>
              </w:rPr>
            </w:pPr>
            <w:r>
              <w:rPr>
                <w:rFonts w:hint="eastAsia" w:ascii="仿宋" w:hAnsi="仿宋" w:eastAsia="仿宋" w:cs="仿宋"/>
                <w:color w:val="231F20"/>
                <w:spacing w:val="2"/>
                <w:sz w:val="24"/>
                <w:szCs w:val="24"/>
              </w:rPr>
              <w:t>【参考资料】</w:t>
            </w:r>
          </w:p>
          <w:p w14:paraId="7F631EF4">
            <w:pPr>
              <w:spacing w:line="360" w:lineRule="auto"/>
              <w:ind w:firstLine="470" w:firstLineChars="196"/>
              <w:jc w:val="left"/>
              <w:rPr>
                <w:rFonts w:hint="eastAsia"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color w:val="000000" w:themeColor="text1"/>
                <w:kern w:val="0"/>
                <w:sz w:val="24"/>
                <w:szCs w:val="24"/>
                <w14:textFill>
                  <w14:solidFill>
                    <w14:schemeClr w14:val="tx1"/>
                  </w14:solidFill>
                </w14:textFill>
              </w:rPr>
              <w:t>完成上述任务时，可以使用所有常见的教学资料，如工作页、信息页、教材、课件 PPT、微课视频、安全操作规程、产品说明书、装配文件、工艺规范、产品功能测试文件、规范 / 标准文件、网络在线教学资源等资料等。</w:t>
            </w:r>
          </w:p>
        </w:tc>
      </w:tr>
    </w:tbl>
    <w:p w14:paraId="70CE3F1F"/>
    <w:p w14:paraId="03E5EE86">
      <w:pPr>
        <w:jc w:val="left"/>
        <w:rPr>
          <w:rFonts w:ascii="宋体" w:hAnsi="宋体" w:eastAsia="宋体"/>
          <w:b/>
          <w:bCs/>
          <w:sz w:val="32"/>
          <w:szCs w:val="32"/>
        </w:rPr>
      </w:pPr>
    </w:p>
    <w:sectPr>
      <w:pgSz w:w="11906" w:h="16838"/>
      <w:pgMar w:top="1440" w:right="1083" w:bottom="1440" w:left="1083"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roma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zZmVhYmE3NzY4NGVlMmRlOGE4YzdmZDA0MjA5ZGUifQ=="/>
  </w:docVars>
  <w:rsids>
    <w:rsidRoot w:val="00DB6D8A"/>
    <w:rsid w:val="000E702C"/>
    <w:rsid w:val="0050324C"/>
    <w:rsid w:val="00565389"/>
    <w:rsid w:val="0058016A"/>
    <w:rsid w:val="005E3E4E"/>
    <w:rsid w:val="00713151"/>
    <w:rsid w:val="008B4053"/>
    <w:rsid w:val="00910152"/>
    <w:rsid w:val="00A43F01"/>
    <w:rsid w:val="00C32844"/>
    <w:rsid w:val="00C7151B"/>
    <w:rsid w:val="00D81079"/>
    <w:rsid w:val="00D957E3"/>
    <w:rsid w:val="00DB6D8A"/>
    <w:rsid w:val="00EA760D"/>
    <w:rsid w:val="00F249C9"/>
    <w:rsid w:val="0583779A"/>
    <w:rsid w:val="0C2E1C89"/>
    <w:rsid w:val="0EA6217F"/>
    <w:rsid w:val="1789765C"/>
    <w:rsid w:val="186D30FE"/>
    <w:rsid w:val="19F05205"/>
    <w:rsid w:val="26264154"/>
    <w:rsid w:val="299B4FB9"/>
    <w:rsid w:val="2D5269EE"/>
    <w:rsid w:val="2F6A0A2C"/>
    <w:rsid w:val="2FB17F56"/>
    <w:rsid w:val="32697AA0"/>
    <w:rsid w:val="3644400D"/>
    <w:rsid w:val="3938118D"/>
    <w:rsid w:val="42FE2086"/>
    <w:rsid w:val="43FD725B"/>
    <w:rsid w:val="44C352B4"/>
    <w:rsid w:val="45763B1A"/>
    <w:rsid w:val="47655843"/>
    <w:rsid w:val="4B7E6C9F"/>
    <w:rsid w:val="51613C02"/>
    <w:rsid w:val="55C82F4A"/>
    <w:rsid w:val="5BEA0D98"/>
    <w:rsid w:val="64227B03"/>
    <w:rsid w:val="668D5442"/>
    <w:rsid w:val="671D3982"/>
    <w:rsid w:val="693370F8"/>
    <w:rsid w:val="69752E51"/>
    <w:rsid w:val="6B1860FA"/>
    <w:rsid w:val="71C25989"/>
    <w:rsid w:val="71D678CD"/>
    <w:rsid w:val="75CD4430"/>
    <w:rsid w:val="781A1483"/>
    <w:rsid w:val="79E620DF"/>
    <w:rsid w:val="7A2C4240"/>
    <w:rsid w:val="7EA3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autoRedefine/>
    <w:semiHidden/>
    <w:unhideWhenUsed/>
    <w:qFormat/>
    <w:uiPriority w:val="99"/>
    <w:pPr>
      <w:jc w:val="left"/>
    </w:pPr>
  </w:style>
  <w:style w:type="paragraph" w:styleId="3">
    <w:name w:val="Body Text"/>
    <w:basedOn w:val="1"/>
    <w:autoRedefine/>
    <w:qFormat/>
    <w:uiPriority w:val="0"/>
    <w:pPr>
      <w:widowControl/>
      <w:spacing w:line="520" w:lineRule="exact"/>
      <w:jc w:val="left"/>
    </w:pPr>
    <w:rPr>
      <w:rFonts w:hAnsi="宋体" w:eastAsia="仿宋_GB2312" w:cs="宋体"/>
      <w:kern w:val="0"/>
      <w:sz w:val="32"/>
      <w:szCs w:val="32"/>
    </w:rPr>
  </w:style>
  <w:style w:type="paragraph" w:styleId="4">
    <w:name w:val="footer"/>
    <w:basedOn w:val="1"/>
    <w:link w:val="13"/>
    <w:autoRedefine/>
    <w:unhideWhenUsed/>
    <w:qFormat/>
    <w:uiPriority w:val="99"/>
    <w:pPr>
      <w:tabs>
        <w:tab w:val="center" w:pos="4153"/>
        <w:tab w:val="right" w:pos="8306"/>
      </w:tabs>
      <w:snapToGrid w:val="0"/>
      <w:jc w:val="left"/>
    </w:pPr>
    <w:rPr>
      <w:sz w:val="18"/>
      <w:szCs w:val="18"/>
    </w:rPr>
  </w:style>
  <w:style w:type="paragraph" w:styleId="5">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yperlink"/>
    <w:basedOn w:val="9"/>
    <w:semiHidden/>
    <w:unhideWhenUsed/>
    <w:uiPriority w:val="99"/>
    <w:rPr>
      <w:color w:val="0000FF"/>
      <w:u w:val="single"/>
    </w:rPr>
  </w:style>
  <w:style w:type="character" w:customStyle="1" w:styleId="12">
    <w:name w:val="页眉 字符"/>
    <w:basedOn w:val="9"/>
    <w:link w:val="5"/>
    <w:autoRedefine/>
    <w:qFormat/>
    <w:uiPriority w:val="99"/>
    <w:rPr>
      <w:sz w:val="18"/>
      <w:szCs w:val="18"/>
    </w:rPr>
  </w:style>
  <w:style w:type="character" w:customStyle="1" w:styleId="13">
    <w:name w:val="页脚 字符"/>
    <w:basedOn w:val="9"/>
    <w:link w:val="4"/>
    <w:autoRedefine/>
    <w:qFormat/>
    <w:uiPriority w:val="99"/>
    <w:rPr>
      <w:sz w:val="18"/>
      <w:szCs w:val="18"/>
    </w:rPr>
  </w:style>
  <w:style w:type="paragraph" w:styleId="14">
    <w:name w:val="List Paragraph"/>
    <w:basedOn w:val="1"/>
    <w:autoRedefine/>
    <w:qFormat/>
    <w:uiPriority w:val="34"/>
    <w:pPr>
      <w:ind w:firstLine="420" w:firstLineChars="200"/>
    </w:pPr>
  </w:style>
  <w:style w:type="paragraph" w:customStyle="1" w:styleId="15">
    <w:name w:val="Table Text"/>
    <w:basedOn w:val="1"/>
    <w:autoRedefine/>
    <w:semiHidden/>
    <w:qFormat/>
    <w:uiPriority w:val="0"/>
    <w:rPr>
      <w:rFonts w:ascii="微软雅黑" w:hAnsi="微软雅黑" w:eastAsia="微软雅黑" w:cs="微软雅黑"/>
      <w:sz w:val="18"/>
      <w:szCs w:val="18"/>
      <w:lang w:val="en-US" w:eastAsia="en-US" w:bidi="ar-SA"/>
    </w:rPr>
  </w:style>
  <w:style w:type="table" w:customStyle="1" w:styleId="16">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8660</Words>
  <Characters>8828</Characters>
  <Lines>22</Lines>
  <Paragraphs>6</Paragraphs>
  <TotalTime>6</TotalTime>
  <ScaleCrop>false</ScaleCrop>
  <LinksUpToDate>false</LinksUpToDate>
  <CharactersWithSpaces>8853</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2022-08-19T03:02:00Z</dcterms:created>
  <dc:creator>徐 玉</dc:creator>
  <cp:lastModifiedBy>小钰</cp:lastModifiedBy>
  <dcterms:modified xsi:type="dcterms:W3CDTF">2024-09-28T16:19:59Z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5E8F93778ABF48A88B94CA228A79E43B_13</vt:lpwstr>
  </property>
</Properties>
</file>