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240" w:lineRule="auto"/>
        <w:jc w:val="center"/>
        <w:rPr>
          <w:rFonts w:hint="eastAsia" w:ascii="宋体" w:hAnsi="宋体" w:eastAsia="宋体" w:cs="宋体"/>
          <w:b/>
          <w:bCs/>
          <w:sz w:val="36"/>
          <w:szCs w:val="36"/>
          <w:lang w:val="zh-CN"/>
        </w:rPr>
      </w:pPr>
      <w:r>
        <w:rPr>
          <w:rFonts w:hint="eastAsia" w:ascii="宋体" w:hAnsi="宋体" w:eastAsia="宋体" w:cs="宋体"/>
          <w:b/>
          <w:bCs/>
          <w:sz w:val="36"/>
          <w:szCs w:val="36"/>
        </w:rPr>
        <w:t>深圳市携创</w:t>
      </w:r>
      <w:r>
        <w:rPr>
          <w:rFonts w:hint="eastAsia" w:ascii="宋体" w:hAnsi="宋体" w:eastAsia="宋体" w:cs="宋体"/>
          <w:b/>
          <w:bCs/>
          <w:sz w:val="36"/>
          <w:szCs w:val="36"/>
          <w:lang w:eastAsia="zh-CN"/>
        </w:rPr>
        <w:t>高级</w:t>
      </w:r>
      <w:r>
        <w:rPr>
          <w:rFonts w:hint="eastAsia" w:ascii="宋体" w:hAnsi="宋体" w:eastAsia="宋体" w:cs="宋体"/>
          <w:b/>
          <w:bCs/>
          <w:sz w:val="36"/>
          <w:szCs w:val="36"/>
        </w:rPr>
        <w:t>技工学校</w:t>
      </w:r>
    </w:p>
    <w:p>
      <w:pPr>
        <w:spacing w:line="240" w:lineRule="auto"/>
        <w:jc w:val="center"/>
        <w:rPr>
          <w:rFonts w:hint="eastAsia" w:ascii="宋体" w:hAnsi="宋体" w:eastAsia="宋体" w:cs="宋体"/>
          <w:b/>
          <w:bCs/>
          <w:sz w:val="36"/>
          <w:szCs w:val="36"/>
          <w:lang w:val="zh-CN"/>
        </w:rPr>
      </w:pPr>
      <w:r>
        <w:rPr>
          <w:rFonts w:hint="eastAsia" w:ascii="宋体" w:hAnsi="宋体" w:eastAsia="宋体" w:cs="宋体"/>
          <w:b/>
          <w:bCs/>
          <w:sz w:val="36"/>
          <w:szCs w:val="36"/>
          <w:lang w:val="en-US" w:eastAsia="zh-CN"/>
        </w:rPr>
        <w:t>专业核心课</w:t>
      </w:r>
      <w:r>
        <w:rPr>
          <w:rFonts w:hint="eastAsia" w:ascii="宋体" w:hAnsi="宋体" w:eastAsia="宋体" w:cs="宋体"/>
          <w:b/>
          <w:bCs/>
          <w:sz w:val="36"/>
          <w:szCs w:val="36"/>
          <w:lang w:val="zh-CN"/>
        </w:rPr>
        <w:t>教案</w:t>
      </w:r>
    </w:p>
    <w:p>
      <w:pPr>
        <w:pStyle w:val="4"/>
        <w:pBdr>
          <w:bottom w:val="single" w:color="auto" w:sz="6" w:space="0"/>
        </w:pBdr>
        <w:tabs>
          <w:tab w:val="right" w:pos="9214"/>
          <w:tab w:val="clear" w:pos="8306"/>
        </w:tabs>
        <w:spacing w:line="240" w:lineRule="auto"/>
        <w:ind w:left="-850" w:leftChars="-405" w:right="-907" w:rightChars="-432"/>
        <w:rPr>
          <w:rFonts w:hint="default" w:ascii="Calibri" w:hAnsi="Calibri" w:eastAsia="宋体" w:cs="Times New Roman"/>
          <w:sz w:val="28"/>
          <w:szCs w:val="28"/>
          <w:lang w:val="en-US" w:eastAsia="zh-CN"/>
        </w:rPr>
      </w:pPr>
      <w:r>
        <w:rPr>
          <w:rFonts w:hint="eastAsia" w:ascii="Calibri" w:hAnsi="Calibri" w:eastAsia="宋体" w:cs="Times New Roman"/>
          <w:sz w:val="28"/>
          <w:szCs w:val="28"/>
          <w:lang w:val="en-US" w:eastAsia="zh-CN"/>
        </w:rPr>
        <w:t>20</w:t>
      </w:r>
      <w:r>
        <w:rPr>
          <w:rFonts w:hint="eastAsia" w:cs="Times New Roman"/>
          <w:sz w:val="28"/>
          <w:szCs w:val="28"/>
          <w:lang w:val="en-US" w:eastAsia="zh-CN"/>
        </w:rPr>
        <w:t>25</w:t>
      </w:r>
      <w:r>
        <w:rPr>
          <w:rFonts w:hint="eastAsia" w:ascii="Calibri" w:hAnsi="Calibri" w:eastAsia="宋体" w:cs="Times New Roman"/>
          <w:sz w:val="28"/>
          <w:szCs w:val="28"/>
          <w:lang w:val="en-US" w:eastAsia="zh-CN"/>
        </w:rPr>
        <w:t>-20</w:t>
      </w:r>
      <w:r>
        <w:rPr>
          <w:rFonts w:hint="eastAsia" w:cs="Times New Roman"/>
          <w:sz w:val="28"/>
          <w:szCs w:val="28"/>
          <w:lang w:val="en-US" w:eastAsia="zh-CN"/>
        </w:rPr>
        <w:t>26</w:t>
      </w:r>
      <w:r>
        <w:rPr>
          <w:rFonts w:hint="eastAsia" w:ascii="Calibri" w:hAnsi="Calibri" w:eastAsia="宋体" w:cs="Times New Roman"/>
          <w:sz w:val="28"/>
          <w:szCs w:val="28"/>
          <w:lang w:val="en-US" w:eastAsia="zh-CN"/>
        </w:rPr>
        <w:t>学年第</w:t>
      </w:r>
      <w:r>
        <w:rPr>
          <w:rFonts w:hint="eastAsia" w:cs="Times New Roman"/>
          <w:sz w:val="28"/>
          <w:szCs w:val="28"/>
          <w:lang w:val="en-US" w:eastAsia="zh-CN"/>
        </w:rPr>
        <w:t>一</w:t>
      </w:r>
      <w:r>
        <w:rPr>
          <w:rFonts w:hint="eastAsia" w:ascii="Calibri" w:hAnsi="Calibri" w:eastAsia="宋体" w:cs="Times New Roman"/>
          <w:sz w:val="28"/>
          <w:szCs w:val="28"/>
          <w:lang w:val="en-US" w:eastAsia="zh-CN"/>
        </w:rPr>
        <w:t>学期</w:t>
      </w:r>
    </w:p>
    <w:p>
      <w:pPr>
        <w:pStyle w:val="4"/>
        <w:pBdr>
          <w:bottom w:val="single" w:color="auto" w:sz="6" w:space="0"/>
        </w:pBdr>
        <w:tabs>
          <w:tab w:val="right" w:pos="9214"/>
          <w:tab w:val="clear" w:pos="8306"/>
        </w:tabs>
        <w:spacing w:line="240" w:lineRule="auto"/>
        <w:ind w:left="-850" w:leftChars="-405" w:right="-907" w:rightChars="-432"/>
        <w:jc w:val="left"/>
        <w:rPr>
          <w:rFonts w:hint="default" w:eastAsia="宋体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zh-CN"/>
        </w:rPr>
        <w:t>编号:</w:t>
      </w:r>
      <w:r>
        <w:rPr>
          <w:rFonts w:hint="eastAsia" w:ascii="宋体" w:hAnsi="宋体" w:cs="宋体"/>
          <w:sz w:val="21"/>
          <w:szCs w:val="21"/>
        </w:rPr>
        <w:t xml:space="preserve"> </w:t>
      </w:r>
      <w:r>
        <w:rPr>
          <w:rFonts w:hint="eastAsia"/>
          <w:sz w:val="21"/>
          <w:szCs w:val="21"/>
          <w:lang w:val="en-US" w:eastAsia="zh-CN"/>
        </w:rPr>
        <w:t>SZXC</w:t>
      </w:r>
      <w:r>
        <w:rPr>
          <w:rFonts w:hint="eastAsia"/>
          <w:sz w:val="21"/>
          <w:szCs w:val="21"/>
        </w:rPr>
        <w:t>/</w:t>
      </w:r>
      <w:r>
        <w:rPr>
          <w:rFonts w:hint="eastAsia"/>
          <w:sz w:val="21"/>
          <w:szCs w:val="21"/>
          <w:lang w:val="en-US" w:eastAsia="zh-CN"/>
        </w:rPr>
        <w:t>JWC</w:t>
      </w:r>
      <w:r>
        <w:rPr>
          <w:rFonts w:hint="eastAsia"/>
          <w:sz w:val="21"/>
          <w:szCs w:val="21"/>
        </w:rPr>
        <w:t>-0</w:t>
      </w:r>
      <w:r>
        <w:rPr>
          <w:rFonts w:hint="eastAsia"/>
          <w:sz w:val="21"/>
          <w:szCs w:val="21"/>
          <w:lang w:val="en-US" w:eastAsia="zh-CN"/>
        </w:rPr>
        <w:t>05</w:t>
      </w:r>
      <w:r>
        <w:rPr>
          <w:rFonts w:hint="eastAsia" w:ascii="宋体" w:hAnsi="宋体" w:cs="宋体"/>
          <w:sz w:val="21"/>
          <w:szCs w:val="21"/>
        </w:rPr>
        <w:t xml:space="preserve">                       </w:t>
      </w:r>
      <w:r>
        <w:rPr>
          <w:rFonts w:hint="eastAsia" w:ascii="宋体" w:hAnsi="宋体" w:cs="宋体"/>
          <w:sz w:val="21"/>
          <w:szCs w:val="21"/>
          <w:lang w:val="en-US" w:eastAsia="zh-CN"/>
        </w:rPr>
        <w:t xml:space="preserve">  </w:t>
      </w:r>
      <w:r>
        <w:rPr>
          <w:rFonts w:hint="eastAsia" w:ascii="宋体" w:hAnsi="宋体" w:cs="宋体"/>
          <w:sz w:val="21"/>
          <w:szCs w:val="21"/>
        </w:rPr>
        <w:t xml:space="preserve"> 版本：</w:t>
      </w:r>
      <w:r>
        <w:rPr>
          <w:rFonts w:hint="eastAsia"/>
          <w:sz w:val="21"/>
          <w:szCs w:val="21"/>
          <w:lang w:val="en-US" w:eastAsia="zh-CN"/>
        </w:rPr>
        <w:t xml:space="preserve">C/1 </w:t>
      </w:r>
      <w:r>
        <w:rPr>
          <w:rFonts w:hint="eastAsia" w:ascii="宋体" w:hAnsi="宋体" w:cs="宋体"/>
          <w:sz w:val="21"/>
          <w:szCs w:val="21"/>
        </w:rPr>
        <w:t xml:space="preserve">       </w:t>
      </w:r>
      <w:r>
        <w:rPr>
          <w:rFonts w:hint="eastAsia" w:ascii="宋体" w:hAnsi="宋体" w:cs="宋体"/>
          <w:sz w:val="21"/>
          <w:szCs w:val="21"/>
          <w:lang w:val="en-US" w:eastAsia="zh-CN"/>
        </w:rPr>
        <w:t xml:space="preserve">    </w:t>
      </w:r>
      <w:r>
        <w:rPr>
          <w:rFonts w:hint="eastAsia" w:ascii="宋体" w:hAnsi="宋体" w:cs="宋体"/>
          <w:sz w:val="21"/>
          <w:szCs w:val="21"/>
        </w:rPr>
        <w:t xml:space="preserve">              </w:t>
      </w:r>
      <w:r>
        <w:rPr>
          <w:rFonts w:hint="eastAsia" w:ascii="宋体" w:hAnsi="宋体" w:cs="宋体"/>
          <w:sz w:val="21"/>
          <w:szCs w:val="21"/>
          <w:lang w:val="en-US" w:eastAsia="zh-CN"/>
        </w:rPr>
        <w:t xml:space="preserve"> </w:t>
      </w:r>
      <w:r>
        <w:rPr>
          <w:rFonts w:hint="eastAsia" w:ascii="宋体" w:hAnsi="宋体" w:cs="宋体"/>
          <w:sz w:val="21"/>
          <w:szCs w:val="21"/>
        </w:rPr>
        <w:t xml:space="preserve"> 流水号：</w:t>
      </w:r>
      <w:r>
        <w:rPr>
          <w:rFonts w:hint="eastAsia"/>
          <w:sz w:val="21"/>
          <w:szCs w:val="21"/>
          <w:lang w:val="en-US" w:eastAsia="zh-CN"/>
        </w:rPr>
        <w:t>2025-D-15</w:t>
      </w:r>
    </w:p>
    <w:tbl>
      <w:tblPr>
        <w:tblStyle w:val="6"/>
        <w:tblpPr w:leftFromText="180" w:rightFromText="180" w:vertAnchor="text" w:horzAnchor="page" w:tblpX="885" w:tblpY="235"/>
        <w:tblOverlap w:val="never"/>
        <w:tblW w:w="10317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2"/>
        <w:gridCol w:w="2397"/>
        <w:gridCol w:w="367"/>
        <w:gridCol w:w="850"/>
        <w:gridCol w:w="89"/>
        <w:gridCol w:w="1713"/>
        <w:gridCol w:w="1468"/>
        <w:gridCol w:w="732"/>
        <w:gridCol w:w="575"/>
        <w:gridCol w:w="1064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7" w:hRule="atLeast"/>
        </w:trPr>
        <w:tc>
          <w:tcPr>
            <w:tcW w:w="1062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课程</w:t>
            </w:r>
          </w:p>
          <w:p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名称</w:t>
            </w:r>
          </w:p>
        </w:tc>
        <w:tc>
          <w:tcPr>
            <w:tcW w:w="2764" w:type="dxa"/>
            <w:gridSpan w:val="2"/>
            <w:noWrap w:val="0"/>
            <w:vAlign w:val="center"/>
          </w:tcPr>
          <w:p>
            <w:pPr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智能家居Qt开发</w:t>
            </w:r>
          </w:p>
        </w:tc>
        <w:tc>
          <w:tcPr>
            <w:tcW w:w="850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课题</w:t>
            </w:r>
          </w:p>
        </w:tc>
        <w:tc>
          <w:tcPr>
            <w:tcW w:w="1802" w:type="dxa"/>
            <w:gridSpan w:val="2"/>
            <w:noWrap w:val="0"/>
            <w:vAlign w:val="center"/>
          </w:tcPr>
          <w:p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firstLine="0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  <w:szCs w:val="24"/>
              </w:rPr>
              <w:t>数据库与表格应用</w:t>
            </w:r>
          </w:p>
        </w:tc>
        <w:tc>
          <w:tcPr>
            <w:tcW w:w="1468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lang w:val="en-US" w:eastAsia="zh-CN"/>
              </w:rPr>
              <w:t>分课题</w:t>
            </w:r>
          </w:p>
        </w:tc>
        <w:tc>
          <w:tcPr>
            <w:tcW w:w="2371" w:type="dxa"/>
            <w:gridSpan w:val="3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  <w:t>SQLite数据库应用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062" w:type="dxa"/>
            <w:vMerge w:val="restart"/>
            <w:noWrap w:val="0"/>
            <w:textDirection w:val="tbRlV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 学 目 标</w:t>
            </w:r>
          </w:p>
        </w:tc>
        <w:tc>
          <w:tcPr>
            <w:tcW w:w="5416" w:type="dxa"/>
            <w:gridSpan w:val="5"/>
            <w:vMerge w:val="restart"/>
            <w:noWrap w:val="0"/>
            <w:vAlign w:val="top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</w:rPr>
              <w:t>知识目标：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1.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</w:rPr>
              <w:t>学生能理解SQLite数据库的作用与特点；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2.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</w:rPr>
              <w:t>学生能说出PyQt中连接SQLite数据库的主要步骤；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3.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</w:rPr>
              <w:t>学生能描述SQL语句的基本执行流程。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</w:rPr>
              <w:t>技能目标：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1.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</w:rPr>
              <w:t>学生能在PyQt程序中实现SQLite数据库连接；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2.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</w:rPr>
              <w:t>学生能编写代码执行增删改查操作；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3.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</w:rPr>
              <w:t>学生能完成数据库数据管理功能模块。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</w:rPr>
              <w:t>职业素养：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</w:rPr>
              <w:t>1. 培养规范编程与良好交互设计意识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eastAsia="zh-CN"/>
              </w:rPr>
              <w:t>；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</w:rPr>
              <w:t>2. 培养团队合作、调试协作的职业精神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eastAsia="zh-CN"/>
              </w:rPr>
              <w:t>。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eastAsia="zh-CN"/>
              </w:rPr>
              <w:t>思政目标：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</w:rPr>
              <w:t>1. 科技服务生活的价值观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eastAsia="zh-CN"/>
              </w:rPr>
              <w:t>；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</w:rPr>
              <w:t>2. 培养学生“服务用户、优化体验”的责任意识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eastAsia="zh-CN"/>
              </w:rPr>
              <w:t>；</w:t>
            </w:r>
          </w:p>
        </w:tc>
        <w:tc>
          <w:tcPr>
            <w:tcW w:w="1468" w:type="dxa"/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授课班级</w:t>
            </w:r>
          </w:p>
        </w:tc>
        <w:tc>
          <w:tcPr>
            <w:tcW w:w="1307" w:type="dxa"/>
            <w:gridSpan w:val="2"/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lang w:val="en-US" w:eastAsia="zh-CN"/>
              </w:rPr>
              <w:t>教学场地</w:t>
            </w:r>
          </w:p>
        </w:tc>
        <w:tc>
          <w:tcPr>
            <w:tcW w:w="1064" w:type="dxa"/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日期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062" w:type="dxa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 w:val="continue"/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</w:p>
        </w:tc>
        <w:tc>
          <w:tcPr>
            <w:tcW w:w="1468" w:type="dxa"/>
            <w:noWrap w:val="0"/>
            <w:vAlign w:val="center"/>
          </w:tcPr>
          <w:p>
            <w:pP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2022级物联网应用技术高技班</w:t>
            </w:r>
          </w:p>
        </w:tc>
        <w:tc>
          <w:tcPr>
            <w:tcW w:w="1307" w:type="dxa"/>
            <w:gridSpan w:val="2"/>
            <w:noWrap w:val="0"/>
            <w:vAlign w:val="center"/>
          </w:tcPr>
          <w:p>
            <w:pP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H502</w:t>
            </w:r>
          </w:p>
        </w:tc>
        <w:tc>
          <w:tcPr>
            <w:tcW w:w="1064" w:type="dxa"/>
            <w:noWrap w:val="0"/>
            <w:vAlign w:val="center"/>
          </w:tcPr>
          <w:p>
            <w:pP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2025.11.3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062" w:type="dxa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 w:val="continue"/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</w:p>
        </w:tc>
        <w:tc>
          <w:tcPr>
            <w:tcW w:w="1468" w:type="dxa"/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</w:p>
        </w:tc>
        <w:tc>
          <w:tcPr>
            <w:tcW w:w="1307" w:type="dxa"/>
            <w:gridSpan w:val="2"/>
            <w:noWrap w:val="0"/>
            <w:vAlign w:val="center"/>
          </w:tcPr>
          <w:p>
            <w:pP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</w:p>
        </w:tc>
        <w:tc>
          <w:tcPr>
            <w:tcW w:w="1064" w:type="dxa"/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062" w:type="dxa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 w:val="continue"/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</w:p>
        </w:tc>
        <w:tc>
          <w:tcPr>
            <w:tcW w:w="1468" w:type="dxa"/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</w:p>
        </w:tc>
        <w:tc>
          <w:tcPr>
            <w:tcW w:w="1307" w:type="dxa"/>
            <w:gridSpan w:val="2"/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</w:p>
        </w:tc>
        <w:tc>
          <w:tcPr>
            <w:tcW w:w="1064" w:type="dxa"/>
            <w:noWrap w:val="0"/>
            <w:vAlign w:val="top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062" w:type="dxa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 w:val="continue"/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</w:p>
        </w:tc>
        <w:tc>
          <w:tcPr>
            <w:tcW w:w="1468" w:type="dxa"/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</w:p>
        </w:tc>
        <w:tc>
          <w:tcPr>
            <w:tcW w:w="1307" w:type="dxa"/>
            <w:gridSpan w:val="2"/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</w:p>
        </w:tc>
        <w:tc>
          <w:tcPr>
            <w:tcW w:w="1064" w:type="dxa"/>
            <w:noWrap w:val="0"/>
            <w:vAlign w:val="top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062" w:type="dxa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 w:val="continue"/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</w:p>
        </w:tc>
        <w:tc>
          <w:tcPr>
            <w:tcW w:w="1468" w:type="dxa"/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</w:p>
        </w:tc>
        <w:tc>
          <w:tcPr>
            <w:tcW w:w="1307" w:type="dxa"/>
            <w:gridSpan w:val="2"/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</w:p>
        </w:tc>
        <w:tc>
          <w:tcPr>
            <w:tcW w:w="1064" w:type="dxa"/>
            <w:noWrap w:val="0"/>
            <w:vAlign w:val="top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22" w:hRule="atLeast"/>
        </w:trPr>
        <w:tc>
          <w:tcPr>
            <w:tcW w:w="1062" w:type="dxa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 w:val="continue"/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</w:p>
        </w:tc>
        <w:tc>
          <w:tcPr>
            <w:tcW w:w="1468" w:type="dxa"/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</w:p>
        </w:tc>
        <w:tc>
          <w:tcPr>
            <w:tcW w:w="1307" w:type="dxa"/>
            <w:gridSpan w:val="2"/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</w:p>
        </w:tc>
        <w:tc>
          <w:tcPr>
            <w:tcW w:w="1064" w:type="dxa"/>
            <w:noWrap w:val="0"/>
            <w:vAlign w:val="top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88" w:hRule="atLeast"/>
        </w:trPr>
        <w:tc>
          <w:tcPr>
            <w:tcW w:w="1062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  <w:t>教学</w:t>
            </w:r>
          </w:p>
          <w:p>
            <w:pPr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  <w:t>媒体</w:t>
            </w:r>
          </w:p>
          <w:p>
            <w:pPr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  <w:t>（教具）</w:t>
            </w:r>
          </w:p>
        </w:tc>
        <w:tc>
          <w:tcPr>
            <w:tcW w:w="5416" w:type="dxa"/>
            <w:gridSpan w:val="5"/>
            <w:tcBorders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投影仪、电脑</w:t>
            </w:r>
          </w:p>
        </w:tc>
        <w:tc>
          <w:tcPr>
            <w:tcW w:w="1468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lang w:val="en-US" w:eastAsia="zh-CN"/>
              </w:rPr>
              <w:t>课时</w:t>
            </w:r>
          </w:p>
        </w:tc>
        <w:tc>
          <w:tcPr>
            <w:tcW w:w="2371" w:type="dxa"/>
            <w:gridSpan w:val="3"/>
            <w:tcBorders>
              <w:lef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6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95" w:hRule="atLeast"/>
        </w:trPr>
        <w:tc>
          <w:tcPr>
            <w:tcW w:w="1062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</w:rPr>
              <w:t>教学</w:t>
            </w:r>
          </w:p>
          <w:p>
            <w:pPr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</w:rPr>
              <w:t xml:space="preserve">方法     </w:t>
            </w:r>
          </w:p>
        </w:tc>
        <w:tc>
          <w:tcPr>
            <w:tcW w:w="9255" w:type="dxa"/>
            <w:gridSpan w:val="9"/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</w:rPr>
              <w:t>案例分析法、讲授法、任务驱动法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0" w:hRule="atLeast"/>
        </w:trPr>
        <w:tc>
          <w:tcPr>
            <w:tcW w:w="1062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教学</w:t>
            </w:r>
          </w:p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重点</w:t>
            </w:r>
          </w:p>
        </w:tc>
        <w:tc>
          <w:tcPr>
            <w:tcW w:w="9255" w:type="dxa"/>
            <w:gridSpan w:val="9"/>
            <w:noWrap w:val="0"/>
            <w:vAlign w:val="center"/>
          </w:tcPr>
          <w:p>
            <w:pP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SQLite数据库连接与SQL语句执行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3" w:hRule="atLeast"/>
        </w:trPr>
        <w:tc>
          <w:tcPr>
            <w:tcW w:w="1062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教学</w:t>
            </w:r>
          </w:p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难点</w:t>
            </w:r>
          </w:p>
        </w:tc>
        <w:tc>
          <w:tcPr>
            <w:tcW w:w="9255" w:type="dxa"/>
            <w:gridSpan w:val="9"/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</w:rPr>
              <w:t>SQL语句与PyQt信号槽的结合应用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77" w:hRule="atLeast"/>
        </w:trPr>
        <w:tc>
          <w:tcPr>
            <w:tcW w:w="1062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课后</w:t>
            </w:r>
          </w:p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教学</w:t>
            </w:r>
          </w:p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反思</w:t>
            </w:r>
          </w:p>
        </w:tc>
        <w:tc>
          <w:tcPr>
            <w:tcW w:w="9255" w:type="dxa"/>
            <w:gridSpan w:val="9"/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3" w:hRule="atLeast"/>
        </w:trPr>
        <w:tc>
          <w:tcPr>
            <w:tcW w:w="1062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任课</w:t>
            </w:r>
          </w:p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教师</w:t>
            </w:r>
          </w:p>
        </w:tc>
        <w:tc>
          <w:tcPr>
            <w:tcW w:w="2397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306" w:type="dxa"/>
            <w:gridSpan w:val="3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审阅签名</w:t>
            </w:r>
          </w:p>
        </w:tc>
        <w:tc>
          <w:tcPr>
            <w:tcW w:w="1713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2200" w:type="dxa"/>
            <w:gridSpan w:val="2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审阅日期</w:t>
            </w:r>
          </w:p>
        </w:tc>
        <w:tc>
          <w:tcPr>
            <w:tcW w:w="1639" w:type="dxa"/>
            <w:gridSpan w:val="2"/>
            <w:noWrap w:val="0"/>
            <w:vAlign w:val="center"/>
          </w:tcPr>
          <w:p>
            <w:pPr>
              <w:jc w:val="both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 xml:space="preserve">  年 月  日</w:t>
            </w:r>
          </w:p>
        </w:tc>
      </w:tr>
    </w:tbl>
    <w:p>
      <w:pPr>
        <w:spacing w:line="240" w:lineRule="exact"/>
        <w:jc w:val="center"/>
        <w:rPr>
          <w:rFonts w:ascii="宋体" w:hAnsi="宋体"/>
          <w:sz w:val="18"/>
          <w:szCs w:val="18"/>
        </w:rPr>
      </w:pPr>
      <w:bookmarkStart w:id="0" w:name="_GoBack"/>
      <w:bookmarkEnd w:id="0"/>
    </w:p>
    <w:p>
      <w:pPr>
        <w:spacing w:line="240" w:lineRule="exact"/>
        <w:ind w:right="480"/>
        <w:rPr>
          <w:sz w:val="24"/>
        </w:rPr>
      </w:pPr>
    </w:p>
    <w:tbl>
      <w:tblPr>
        <w:tblStyle w:val="6"/>
        <w:tblW w:w="1015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41"/>
        <w:gridCol w:w="2632"/>
        <w:gridCol w:w="2178"/>
        <w:gridCol w:w="2154"/>
        <w:gridCol w:w="154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1" w:hRule="atLeast"/>
          <w:jc w:val="center"/>
        </w:trPr>
        <w:tc>
          <w:tcPr>
            <w:tcW w:w="10150" w:type="dxa"/>
            <w:gridSpan w:val="5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sz w:val="32"/>
                <w:szCs w:val="32"/>
              </w:rPr>
              <w:t>教学过程</w:t>
            </w:r>
            <w:r>
              <w:rPr>
                <w:rFonts w:hint="eastAsia" w:ascii="仿宋" w:hAnsi="仿宋" w:eastAsia="仿宋" w:cs="仿宋"/>
                <w:b/>
                <w:sz w:val="32"/>
                <w:szCs w:val="32"/>
                <w:lang w:val="en-US" w:eastAsia="zh-CN"/>
              </w:rPr>
              <w:t>设计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32" w:hRule="atLeast"/>
          <w:jc w:val="center"/>
        </w:trPr>
        <w:tc>
          <w:tcPr>
            <w:tcW w:w="1641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教学环节</w:t>
            </w:r>
          </w:p>
          <w:p>
            <w:pPr>
              <w:jc w:val="center"/>
              <w:rPr>
                <w:rFonts w:hint="default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（时间分配）</w:t>
            </w:r>
          </w:p>
        </w:tc>
        <w:tc>
          <w:tcPr>
            <w:tcW w:w="2632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学习内容</w:t>
            </w:r>
          </w:p>
        </w:tc>
        <w:tc>
          <w:tcPr>
            <w:tcW w:w="2178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学生活动</w:t>
            </w:r>
          </w:p>
        </w:tc>
        <w:tc>
          <w:tcPr>
            <w:tcW w:w="2154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教师活动</w:t>
            </w:r>
          </w:p>
        </w:tc>
        <w:tc>
          <w:tcPr>
            <w:tcW w:w="1545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教学方法及</w:t>
            </w:r>
          </w:p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设计意图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7" w:hRule="atLeast"/>
          <w:jc w:val="center"/>
        </w:trPr>
        <w:tc>
          <w:tcPr>
            <w:tcW w:w="1641" w:type="dxa"/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 xml:space="preserve">  组织教学</w:t>
            </w:r>
          </w:p>
          <w:p>
            <w:pP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 xml:space="preserve">   5min</w:t>
            </w:r>
          </w:p>
        </w:tc>
        <w:tc>
          <w:tcPr>
            <w:tcW w:w="2632" w:type="dxa"/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课堂纪律</w:t>
            </w:r>
          </w:p>
        </w:tc>
        <w:tc>
          <w:tcPr>
            <w:tcW w:w="2178" w:type="dxa"/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检查周围同学是否在位置</w:t>
            </w:r>
          </w:p>
        </w:tc>
        <w:tc>
          <w:tcPr>
            <w:tcW w:w="2154" w:type="dxa"/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点名，问好，讲纪律</w:t>
            </w:r>
          </w:p>
        </w:tc>
        <w:tc>
          <w:tcPr>
            <w:tcW w:w="1545" w:type="dxa"/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点名：确保班级同学人数齐全，避免个别同学逃课或有意外事件。</w:t>
            </w:r>
          </w:p>
          <w:p>
            <w:pP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关闭与课堂无关的页面：避免学生上课分神不听讲。</w:t>
            </w:r>
          </w:p>
          <w:p>
            <w:pP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3.检查学生精神状态：关怀学生，增进师生感情。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7" w:hRule="atLeast"/>
          <w:jc w:val="center"/>
        </w:trPr>
        <w:tc>
          <w:tcPr>
            <w:tcW w:w="1641" w:type="dxa"/>
            <w:noWrap w:val="0"/>
            <w:vAlign w:val="top"/>
          </w:tcPr>
          <w:p>
            <w:pP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课程导入</w:t>
            </w:r>
          </w:p>
          <w:p>
            <w:pP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15min</w:t>
            </w:r>
          </w:p>
        </w:tc>
        <w:tc>
          <w:tcPr>
            <w:tcW w:w="2632" w:type="dxa"/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案例导入：学生选课系统的数据库应用</w:t>
            </w:r>
          </w:p>
        </w:tc>
        <w:tc>
          <w:tcPr>
            <w:tcW w:w="2178" w:type="dxa"/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- 观看教师演示系统；- 思考系统数据的来源与存储方式；- 回答教师提问。</w:t>
            </w:r>
          </w:p>
        </w:tc>
        <w:tc>
          <w:tcPr>
            <w:tcW w:w="2154" w:type="dxa"/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- 展示完整PyQt学生选课系统；- 引导学生思考数据库的作用；- 介绍SQLite的特点与优势。</w:t>
            </w:r>
          </w:p>
        </w:tc>
        <w:tc>
          <w:tcPr>
            <w:tcW w:w="1545" w:type="dxa"/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以真实案例引入，激发学习兴趣，使学生理解数据库在软件系统中的重要性，树立“数据支撑智能系统”的意识。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50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讲授新课—控件基础（70分钟）</w:t>
            </w:r>
          </w:p>
        </w:tc>
        <w:tc>
          <w:tcPr>
            <w:tcW w:w="2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numPr>
                <w:ilvl w:val="0"/>
                <w:numId w:val="1"/>
              </w:numP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SQLite数据库简介与应用场景；</w:t>
            </w:r>
          </w:p>
          <w:p>
            <w:pPr>
              <w:numPr>
                <w:ilvl w:val="0"/>
                <w:numId w:val="1"/>
              </w:numPr>
              <w:ind w:left="0" w:leftChars="0" w:firstLine="0" w:firstLineChars="0"/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SQLite数据库文件结构与轻量特征；</w:t>
            </w:r>
          </w:p>
          <w:p>
            <w:pPr>
              <w:numPr>
                <w:ilvl w:val="0"/>
                <w:numId w:val="1"/>
              </w:numPr>
              <w:ind w:left="0" w:leftChars="0" w:firstLine="0" w:firstLineChars="0"/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SQLite连接步骤（import sqlite3、connect、cursor、execute、commit、close）；</w:t>
            </w:r>
          </w:p>
          <w:p>
            <w:pPr>
              <w:numPr>
                <w:ilvl w:val="0"/>
                <w:numId w:val="0"/>
              </w:numPr>
              <w:ind w:leftChars="0"/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4. 数据表的创建与基本SQL语句。</w:t>
            </w:r>
          </w:p>
        </w:tc>
        <w:tc>
          <w:tcPr>
            <w:tcW w:w="21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- 认真听讲、做笔记；- 跟随教师演示创建数据库；- 独立输入建表语句；- 提问疑惑点。</w:t>
            </w:r>
          </w:p>
        </w:tc>
        <w:tc>
          <w:tcPr>
            <w:tcW w:w="21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- 讲解SQLite的原理与优点；- 通过实例讲解连接数据库代码；- 强调execute执行机制与commit作用；- 纠正学生语法错误。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采用“讲授+演示”的方式，结合实例让学生直观理解SQLite的核心结构与操作命令，为实操环节奠定知识基础。通过循序渐进讲解强化学生的逻辑理解。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7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实践演示</w:t>
            </w:r>
          </w:p>
          <w:p>
            <w:pP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60min</w:t>
            </w:r>
          </w:p>
        </w:tc>
        <w:tc>
          <w:tcPr>
            <w:tcW w:w="2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numPr>
                <w:ilvl w:val="0"/>
                <w:numId w:val="2"/>
              </w:numP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使用PyCharm创建数据库文件；</w:t>
            </w:r>
          </w:p>
          <w:p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2. 执行SQL语句建表；3. 插入基础数据（INSERT语句）；4. 查询数据（SELECT语句）。</w:t>
            </w:r>
          </w:p>
        </w:tc>
        <w:tc>
          <w:tcPr>
            <w:tcW w:w="21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- 独立在PyCharm中创建数据库；- 完成建表与数据插入；- 与同伴核对结果；- 提交演练结果。</w:t>
            </w:r>
          </w:p>
        </w:tc>
        <w:tc>
          <w:tcPr>
            <w:tcW w:w="21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- 发布实操任务清单；- 巡回指导、纠正错误；- 对进度慢的学生个别辅导；- 展示学生成功案例。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采用“任务驱动+分层指导”教学，强化学生的动手能力。通过即时反馈帮助学生掌握数据库基本操作，培养严谨的数据处理习惯。思政融入：强调“数据准确即责任”。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7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实践演示</w:t>
            </w:r>
          </w:p>
          <w:p>
            <w:pP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60min</w:t>
            </w:r>
          </w:p>
        </w:tc>
        <w:tc>
          <w:tcPr>
            <w:tcW w:w="2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numPr>
                <w:ilvl w:val="0"/>
                <w:numId w:val="3"/>
              </w:numP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PyQt中的数据库接口（QSqlDatabase类）；2. 数据模型与视图（QSqlTableModel与QTableView）；</w:t>
            </w:r>
          </w:p>
          <w:p>
            <w:pPr>
              <w:numPr>
                <w:ilvl w:val="0"/>
                <w:numId w:val="3"/>
              </w:numPr>
              <w:ind w:left="0" w:leftChars="0" w:firstLine="0" w:firstLineChars="0"/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在PyQt界面中加载SQLite数据；</w:t>
            </w:r>
          </w:p>
          <w:p>
            <w:pPr>
              <w:numPr>
                <w:ilvl w:val="0"/>
                <w:numId w:val="0"/>
              </w:numPr>
              <w:ind w:leftChars="0"/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4. SQL语句与PyQt信号槽机制结合。</w:t>
            </w:r>
          </w:p>
        </w:tc>
        <w:tc>
          <w:tcPr>
            <w:tcW w:w="21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- 听讲并记录步骤；- 观察教师操作演示；- 分析代码结构；- 提出问题。</w:t>
            </w:r>
          </w:p>
        </w:tc>
        <w:tc>
          <w:tcPr>
            <w:tcW w:w="21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- 演示如何在PyQt中导入QtSql模块；- 展示代码：建立数据库连接与显示数据表；- 讲解模型视图模式；- 分析信号槽触发数据更新逻辑。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采用“案例驱动+讲练结合”的方法，通过界面与数据库结合案例让学生理解“前端与后端”的关系。设计意图在于培养学生系统化编程思维，并强化职业综合能力。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7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拓展环节</w:t>
            </w:r>
          </w:p>
          <w:p>
            <w:pP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30min</w:t>
            </w:r>
          </w:p>
        </w:tc>
        <w:tc>
          <w:tcPr>
            <w:tcW w:w="2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numPr>
                <w:ilvl w:val="0"/>
                <w:numId w:val="4"/>
              </w:numP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建立完整PyQt界面（含表格视图）；</w:t>
            </w:r>
          </w:p>
          <w:p>
            <w:pPr>
              <w:numPr>
                <w:ilvl w:val="0"/>
                <w:numId w:val="4"/>
              </w:numPr>
              <w:ind w:left="0" w:leftChars="0" w:firstLine="0" w:firstLineChars="0"/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将SQLite数据库加载到QTableView中；</w:t>
            </w:r>
          </w:p>
          <w:p>
            <w:pPr>
              <w:numPr>
                <w:ilvl w:val="0"/>
                <w:numId w:val="4"/>
              </w:numPr>
              <w:ind w:left="0" w:leftChars="0" w:firstLine="0" w:firstLineChars="0"/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实现数据增删改查功能按钮；</w:t>
            </w:r>
          </w:p>
          <w:p>
            <w:pPr>
              <w:numPr>
                <w:ilvl w:val="0"/>
                <w:numId w:val="0"/>
              </w:numPr>
              <w:ind w:leftChars="0"/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4. 调试与结果展示。</w:t>
            </w:r>
          </w:p>
        </w:tc>
        <w:tc>
          <w:tcPr>
            <w:tcW w:w="21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- 独立或小组协作完成界面设计；- 编写数据库交互代码；- 测试与调试；- 展示成果。</w:t>
            </w:r>
          </w:p>
        </w:tc>
        <w:tc>
          <w:tcPr>
            <w:tcW w:w="21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- 布置开发任务；- 指导学生界面布局与代码优化；- 提供问题解决建议；- 展示优秀作品；- 点评学生作品逻辑性与规范性。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采用“项目化学习”法，培养学生综合开发能力。通过分组合作完成任务，提升团队沟通与创新意识。思政融入：强化工匠精神与数据安全意识。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7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总结与拓展</w:t>
            </w:r>
          </w:p>
          <w:p>
            <w:pP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30min</w:t>
            </w:r>
          </w:p>
        </w:tc>
        <w:tc>
          <w:tcPr>
            <w:tcW w:w="2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numPr>
                <w:ilvl w:val="0"/>
                <w:numId w:val="5"/>
              </w:numP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SQLite连接与操作流程总结；</w:t>
            </w:r>
          </w:p>
          <w:p>
            <w:pPr>
              <w:numPr>
                <w:ilvl w:val="0"/>
                <w:numId w:val="5"/>
              </w:numPr>
              <w:ind w:left="0" w:leftChars="0" w:firstLine="0" w:firstLineChars="0"/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PyQt数据库模块知识回顾；</w:t>
            </w:r>
          </w:p>
          <w:p>
            <w:pPr>
              <w:numPr>
                <w:ilvl w:val="0"/>
                <w:numId w:val="0"/>
              </w:numPr>
              <w:ind w:leftChars="0"/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3. 思政总结：职业规范与信息安全意识。</w:t>
            </w:r>
          </w:p>
        </w:tc>
        <w:tc>
          <w:tcPr>
            <w:tcW w:w="21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- 回顾重点；- 回答教师提问；- 分享学习体会；- 记录下节课预习内容。</w:t>
            </w:r>
          </w:p>
        </w:tc>
        <w:tc>
          <w:tcPr>
            <w:tcW w:w="21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- 总结重点与易错点；- 强调编程规范与注释习惯；- 引导学生反思学习过程；- 强化数据安全意识。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通过总结环节实现知识内化与思政教育融合，让学生形成完整的知识链条与职业素养，巩固本课学习成果。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7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before="293" w:line="240" w:lineRule="auto"/>
              <w:jc w:val="center"/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ascii="仿宋" w:hAnsi="仿宋" w:eastAsia="仿宋" w:cs="仿宋"/>
                <w:b/>
                <w:bCs/>
                <w:spacing w:val="-7"/>
                <w:sz w:val="24"/>
                <w:szCs w:val="24"/>
                <w:shd w:val="clear"/>
              </w:rPr>
              <w:t>作业</w:t>
            </w:r>
          </w:p>
        </w:tc>
        <w:tc>
          <w:tcPr>
            <w:tcW w:w="8509" w:type="dxa"/>
            <w:gridSpan w:val="4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pStyle w:val="3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</w:p>
        </w:tc>
      </w:tr>
    </w:tbl>
    <w:p>
      <w:pPr>
        <w:rPr>
          <w:rFonts w:hint="eastAsia"/>
        </w:rPr>
      </w:pPr>
    </w:p>
    <w:p/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02"/>
    <w:family w:val="roman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97D5078"/>
    <w:multiLevelType w:val="singleLevel"/>
    <w:tmpl w:val="A97D5078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EFC3A9F1"/>
    <w:multiLevelType w:val="singleLevel"/>
    <w:tmpl w:val="EFC3A9F1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FF6B864A"/>
    <w:multiLevelType w:val="singleLevel"/>
    <w:tmpl w:val="FF6B864A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16DF98FB"/>
    <w:multiLevelType w:val="singleLevel"/>
    <w:tmpl w:val="16DF98FB"/>
    <w:lvl w:ilvl="0" w:tentative="0">
      <w:start w:val="1"/>
      <w:numFmt w:val="decimal"/>
      <w:suff w:val="space"/>
      <w:lvlText w:val="%1."/>
      <w:lvlJc w:val="left"/>
    </w:lvl>
  </w:abstractNum>
  <w:abstractNum w:abstractNumId="4">
    <w:nsid w:val="6977B746"/>
    <w:multiLevelType w:val="singleLevel"/>
    <w:tmpl w:val="6977B746"/>
    <w:lvl w:ilvl="0" w:tentative="0">
      <w:start w:val="1"/>
      <w:numFmt w:val="decimal"/>
      <w:suff w:val="space"/>
      <w:lvlText w:val="%1."/>
      <w:lvlJc w:val="left"/>
    </w:lvl>
  </w:abstractNum>
  <w:num w:numId="1">
    <w:abstractNumId w:val="4"/>
  </w:num>
  <w:num w:numId="2">
    <w:abstractNumId w:val="3"/>
  </w:num>
  <w:num w:numId="3">
    <w:abstractNumId w:val="1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jgyYzZjNDliMjVhOWM2ZTA1YjY4M2I0ZjA3YjJiNDYifQ=="/>
  </w:docVars>
  <w:rsids>
    <w:rsidRoot w:val="00000000"/>
    <w:rsid w:val="003069CA"/>
    <w:rsid w:val="00784E2B"/>
    <w:rsid w:val="0152265C"/>
    <w:rsid w:val="018F4DFD"/>
    <w:rsid w:val="0425374B"/>
    <w:rsid w:val="05575A45"/>
    <w:rsid w:val="064C75F3"/>
    <w:rsid w:val="083A7C74"/>
    <w:rsid w:val="093E76C7"/>
    <w:rsid w:val="0A5345F0"/>
    <w:rsid w:val="0A786C09"/>
    <w:rsid w:val="0F6B3158"/>
    <w:rsid w:val="10105D3F"/>
    <w:rsid w:val="105670DD"/>
    <w:rsid w:val="10CE7FC0"/>
    <w:rsid w:val="10D93E1D"/>
    <w:rsid w:val="138A3509"/>
    <w:rsid w:val="141B41CD"/>
    <w:rsid w:val="148937C0"/>
    <w:rsid w:val="14B83440"/>
    <w:rsid w:val="16E4773A"/>
    <w:rsid w:val="1B416BA3"/>
    <w:rsid w:val="1C766D20"/>
    <w:rsid w:val="1DC37908"/>
    <w:rsid w:val="1E0D223E"/>
    <w:rsid w:val="1E57048B"/>
    <w:rsid w:val="1F281EFA"/>
    <w:rsid w:val="20204865"/>
    <w:rsid w:val="218D2503"/>
    <w:rsid w:val="21E5391D"/>
    <w:rsid w:val="24590970"/>
    <w:rsid w:val="248226B3"/>
    <w:rsid w:val="24D97602"/>
    <w:rsid w:val="252E056F"/>
    <w:rsid w:val="25483B32"/>
    <w:rsid w:val="27030C0E"/>
    <w:rsid w:val="2A9C3DF6"/>
    <w:rsid w:val="2ABE1FBE"/>
    <w:rsid w:val="2C061FF9"/>
    <w:rsid w:val="2C2607E3"/>
    <w:rsid w:val="314E35F6"/>
    <w:rsid w:val="317F1D7B"/>
    <w:rsid w:val="328F076A"/>
    <w:rsid w:val="32EE5A1E"/>
    <w:rsid w:val="33260700"/>
    <w:rsid w:val="33E660E2"/>
    <w:rsid w:val="33E87CCB"/>
    <w:rsid w:val="35AC4016"/>
    <w:rsid w:val="367B6011"/>
    <w:rsid w:val="395925D8"/>
    <w:rsid w:val="39C57C56"/>
    <w:rsid w:val="39C97CB4"/>
    <w:rsid w:val="3A44335A"/>
    <w:rsid w:val="3A8B3978"/>
    <w:rsid w:val="3AA35841"/>
    <w:rsid w:val="3AD128D1"/>
    <w:rsid w:val="3C3F2833"/>
    <w:rsid w:val="3C463DF0"/>
    <w:rsid w:val="3C6127A9"/>
    <w:rsid w:val="3D412AC0"/>
    <w:rsid w:val="3DEC7478"/>
    <w:rsid w:val="3DF5436D"/>
    <w:rsid w:val="3EBF7C5B"/>
    <w:rsid w:val="3FCF7849"/>
    <w:rsid w:val="402E786F"/>
    <w:rsid w:val="41582240"/>
    <w:rsid w:val="42291FBB"/>
    <w:rsid w:val="451A71AA"/>
    <w:rsid w:val="48013092"/>
    <w:rsid w:val="4A813769"/>
    <w:rsid w:val="4B683B54"/>
    <w:rsid w:val="4B7F50B0"/>
    <w:rsid w:val="57917F8F"/>
    <w:rsid w:val="580C7901"/>
    <w:rsid w:val="5882168D"/>
    <w:rsid w:val="5C6A0E5C"/>
    <w:rsid w:val="5CDC243E"/>
    <w:rsid w:val="5D7C523D"/>
    <w:rsid w:val="5F36189D"/>
    <w:rsid w:val="61792C4D"/>
    <w:rsid w:val="62195750"/>
    <w:rsid w:val="6238380A"/>
    <w:rsid w:val="63B14948"/>
    <w:rsid w:val="649A5429"/>
    <w:rsid w:val="65F77B57"/>
    <w:rsid w:val="66C93FB4"/>
    <w:rsid w:val="68D94025"/>
    <w:rsid w:val="6AA67D9D"/>
    <w:rsid w:val="6AF35217"/>
    <w:rsid w:val="6D1F1741"/>
    <w:rsid w:val="6FC07587"/>
    <w:rsid w:val="6FD8740C"/>
    <w:rsid w:val="71A7216A"/>
    <w:rsid w:val="772C6F41"/>
    <w:rsid w:val="7B767318"/>
    <w:rsid w:val="7C662EE9"/>
    <w:rsid w:val="7D515947"/>
    <w:rsid w:val="7FCF2C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iPriority="99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unhideWhenUsed/>
    <w:qFormat/>
    <w:uiPriority w:val="99"/>
    <w:pPr>
      <w:jc w:val="left"/>
    </w:pPr>
  </w:style>
  <w:style w:type="paragraph" w:styleId="3">
    <w:name w:val="Body Text"/>
    <w:basedOn w:val="1"/>
    <w:next w:val="1"/>
    <w:qFormat/>
    <w:uiPriority w:val="0"/>
    <w:pPr>
      <w:autoSpaceDE w:val="0"/>
      <w:autoSpaceDN w:val="0"/>
      <w:adjustRightInd w:val="0"/>
      <w:spacing w:line="273" w:lineRule="atLeast"/>
      <w:ind w:right="99"/>
      <w:jc w:val="left"/>
    </w:pPr>
    <w:rPr>
      <w:rFonts w:ascii="仿宋_GB2312" w:hAnsi="Times New Roman" w:eastAsia="仿宋_GB2312" w:cs="Times New Roman"/>
      <w:color w:val="000000"/>
      <w:kern w:val="0"/>
      <w:sz w:val="28"/>
      <w:szCs w:val="24"/>
    </w:rPr>
  </w:style>
  <w:style w:type="paragraph" w:styleId="4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22"/>
    <w:rPr>
      <w:b/>
      <w:bCs/>
    </w:rPr>
  </w:style>
  <w:style w:type="character" w:styleId="9">
    <w:name w:val="HTML Code"/>
    <w:basedOn w:val="7"/>
    <w:qFormat/>
    <w:uiPriority w:val="0"/>
    <w:rPr>
      <w:rFonts w:ascii="Courier New" w:hAnsi="Courier New"/>
      <w:sz w:val="20"/>
    </w:rPr>
  </w:style>
  <w:style w:type="table" w:customStyle="1" w:styleId="10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1680</Words>
  <Characters>1918</Characters>
  <Lines>0</Lines>
  <Paragraphs>0</Paragraphs>
  <TotalTime>15</TotalTime>
  <ScaleCrop>false</ScaleCrop>
  <LinksUpToDate>false</LinksUpToDate>
  <CharactersWithSpaces>2047</CharactersWithSpaces>
  <Application>WPS Office_11.8.2.12094_F1E327BC-269C-435d-A152-05C5408002CA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2023-12-10T06:20:00Z</dcterms:created>
  <dc:creator>38179</dc:creator>
  <cp:lastModifiedBy>MR</cp:lastModifiedBy>
  <dcterms:modified xsi:type="dcterms:W3CDTF">2025-10-28T01:43:42Z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2052-11.8.2.12094</vt:lpwstr>
  </property>
  <property fmtid="{D5CDD505-2E9C-101B-9397-08002B2CF9AE}" pid="3" name="ICV">
    <vt:lpwstr>71A59925E8EA4A6E95E77D675F825210_12</vt:lpwstr>
  </property>
  <property fmtid="{D5CDD505-2E9C-101B-9397-08002B2CF9AE}" pid="4" name="KSOTemplateDocerSaveRecord">
    <vt:lpwstr>eyJoZGlkIjoiZGEzNzBiNGE1ZWNjZGQwMDhiYTdkYjQ4NTc1NTc5MzYiLCJ1c2VySWQiOiI4MTMzNDU4MDYifQ==</vt:lpwstr>
  </property>
</Properties>
</file>