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0668CA">
      <w:pPr>
        <w:pStyle w:val="8"/>
        <w:keepNext w:val="0"/>
        <w:keepLines w:val="0"/>
        <w:widowControl/>
        <w:suppressLineNumbers w:val="0"/>
      </w:pPr>
      <w:r>
        <w:t>Dear Dr Jia,</w:t>
      </w:r>
    </w:p>
    <w:p w14:paraId="6A1A8881">
      <w:pPr>
        <w:pStyle w:val="8"/>
        <w:keepNext w:val="0"/>
        <w:keepLines w:val="0"/>
        <w:widowControl/>
        <w:suppressLineNumbers w:val="0"/>
      </w:pPr>
      <w:r>
        <w:t>Your manuscript, "GuardShield-Runtime: Artifact-Aware Runtime Feedback for Progress-Preserving Safe Reinforcement Learning in Dense Traffic", has now been assessed.</w:t>
      </w:r>
    </w:p>
    <w:p w14:paraId="14DFE3BF">
      <w:pPr>
        <w:pStyle w:val="8"/>
        <w:keepNext w:val="0"/>
        <w:keepLines w:val="0"/>
        <w:widowControl/>
        <w:suppressLineNumbers w:val="0"/>
      </w:pPr>
      <w:r>
        <w:t>We invite you to revise your paper, carefully addressing the comments from the reviewers and the editor. Please ensure the results are accurately reported, any overstated conclusions are rewritten and the limitations of the work fully explained. When your revision is ready, please submit the updated manuscript and a point-by-point response. This will help us move to a swift decision.</w:t>
      </w:r>
    </w:p>
    <w:p w14:paraId="0A715F0C">
      <w:pPr>
        <w:pStyle w:val="8"/>
        <w:keepNext w:val="0"/>
        <w:keepLines w:val="0"/>
        <w:widowControl/>
        <w:suppressLineNumbers w:val="0"/>
      </w:pPr>
      <w:r>
        <w:t>Editor Comments</w:t>
      </w:r>
    </w:p>
    <w:p w14:paraId="20DE4F5C">
      <w:pPr>
        <w:pStyle w:val="8"/>
        <w:keepNext w:val="0"/>
        <w:keepLines w:val="0"/>
        <w:widowControl/>
        <w:suppressLineNumbers w:val="0"/>
      </w:pPr>
      <w:r>
        <w:t>"This paper addresses the "pseudo-safety" phenomenon in safe reinforcement learning, proposing a runtime safety intervention framework that jointly evaluates collision cost, route completion, stopping behavior, and intervention burden, validated through frozen-checkpoint experiments. However, the paper has deficiencies in baseline fairness, experimental reproducibility, statistical analysis, and experimental scope. My recommendation is major revision."</w:t>
      </w:r>
      <w:r>
        <w:br w:type="textWrapping"/>
      </w:r>
      <w:r>
        <w:t>-Jian Wang</w:t>
      </w:r>
    </w:p>
    <w:p w14:paraId="3B3DD080">
      <w:pPr>
        <w:pStyle w:val="8"/>
        <w:keepNext w:val="0"/>
        <w:keepLines w:val="0"/>
        <w:widowControl/>
        <w:suppressLineNumbers w:val="0"/>
      </w:pPr>
      <w:r>
        <w:t>We recommend submitting all revisions within the mentioned deadline.</w:t>
      </w:r>
    </w:p>
    <w:p w14:paraId="40F9515D">
      <w:pPr>
        <w:pStyle w:val="8"/>
        <w:keepNext w:val="0"/>
        <w:keepLines w:val="0"/>
        <w:widowControl/>
        <w:suppressLineNumbers w:val="0"/>
      </w:pPr>
      <w:r>
        <w:t>If you need more time, please contact us and include your submission ID.</w:t>
      </w:r>
    </w:p>
    <w:p w14:paraId="53DCFD82">
      <w:pPr>
        <w:pStyle w:val="8"/>
        <w:keepNext w:val="0"/>
        <w:keepLines w:val="0"/>
        <w:widowControl/>
        <w:suppressLineNumbers w:val="0"/>
      </w:pPr>
      <w:r>
        <w:t>Kind regards,</w:t>
      </w:r>
    </w:p>
    <w:p w14:paraId="0B248A56">
      <w:pPr>
        <w:pStyle w:val="8"/>
        <w:keepNext w:val="0"/>
        <w:keepLines w:val="0"/>
        <w:widowControl/>
        <w:suppressLineNumbers w:val="0"/>
      </w:pPr>
      <w:r>
        <w:t>Xizhao Wang</w:t>
      </w:r>
      <w:r>
        <w:br w:type="textWrapping"/>
      </w:r>
      <w:r>
        <w:t>Editor</w:t>
      </w:r>
      <w:r>
        <w:br w:type="textWrapping"/>
      </w:r>
      <w:r>
        <w:t>International Journal of Machine Learning and Cybernetics</w:t>
      </w:r>
    </w:p>
    <w:p w14:paraId="3E23E8E5">
      <w:pPr>
        <w:pStyle w:val="8"/>
        <w:keepNext w:val="0"/>
        <w:keepLines w:val="0"/>
        <w:widowControl/>
        <w:suppressLineNumbers w:val="0"/>
      </w:pPr>
      <w:r>
        <w:fldChar w:fldCharType="begin"/>
      </w:r>
      <w:r>
        <w:instrText xml:space="preserve"> HYPERLINK "mailto:jesey.pawlin@springernature.com?subject=Re Submission revision: 7724d878-9058-46b0-8a1e-f393f97c4ba4" \t "/home/aaa/文档\\x/_blank" </w:instrText>
      </w:r>
      <w:r>
        <w:fldChar w:fldCharType="separate"/>
      </w:r>
      <w:r>
        <w:rPr>
          <w:rStyle w:val="13"/>
        </w:rPr>
        <w:t>Support contact: jesey.pawlin@springernature.com</w:t>
      </w:r>
      <w:r>
        <w:fldChar w:fldCharType="end"/>
      </w:r>
    </w:p>
    <w:p w14:paraId="214C1D6D">
      <w:pPr>
        <w:pStyle w:val="8"/>
        <w:keepNext w:val="0"/>
        <w:keepLines w:val="0"/>
        <w:widowControl/>
        <w:suppressLineNumbers w:val="0"/>
      </w:pPr>
      <w:r>
        <w:t>Submission ID: 7724d878-9058-46b0-8a1e-f393f97c4ba4</w:t>
      </w:r>
    </w:p>
    <w:p w14:paraId="0873B4B2">
      <w:pPr>
        <w:pStyle w:val="8"/>
        <w:keepNext w:val="0"/>
        <w:keepLines w:val="0"/>
        <w:widowControl/>
        <w:numPr>
          <w:ilvl w:val="0"/>
          <w:numId w:val="0"/>
        </w:numPr>
        <w:suppressLineNumbers w:val="0"/>
        <w:spacing w:before="0" w:beforeAutospacing="1" w:after="0" w:afterAutospacing="1" w:line="240" w:lineRule="atLeast"/>
        <w:ind w:right="0" w:rightChars="0"/>
        <w:jc w:val="left"/>
        <w:rPr>
          <w:rFonts w:hint="default" w:eastAsia="宋体"/>
          <w:lang w:val="en-US" w:eastAsia="zh-CN"/>
        </w:rPr>
      </w:pPr>
    </w:p>
    <w:p w14:paraId="5A4113C3">
      <w:pPr>
        <w:pStyle w:val="8"/>
        <w:keepNext w:val="0"/>
        <w:keepLines w:val="0"/>
        <w:widowControl/>
        <w:numPr>
          <w:ilvl w:val="0"/>
          <w:numId w:val="0"/>
        </w:numPr>
        <w:suppressLineNumbers w:val="0"/>
        <w:spacing w:before="0" w:beforeAutospacing="1" w:after="0" w:afterAutospacing="1" w:line="240" w:lineRule="atLeast"/>
        <w:ind w:right="0" w:rightChars="0"/>
        <w:jc w:val="left"/>
        <w:rPr>
          <w:rFonts w:hint="default" w:eastAsia="宋体"/>
          <w:lang w:val="en-US" w:eastAsia="zh-CN"/>
        </w:rPr>
      </w:pPr>
    </w:p>
    <w:p w14:paraId="62FD658F">
      <w:pPr>
        <w:pStyle w:val="8"/>
        <w:keepNext w:val="0"/>
        <w:keepLines w:val="0"/>
        <w:widowControl/>
        <w:numPr>
          <w:ilvl w:val="0"/>
          <w:numId w:val="0"/>
        </w:numPr>
        <w:suppressLineNumbers w:val="0"/>
        <w:spacing w:before="0" w:beforeAutospacing="1" w:after="0" w:afterAutospacing="1" w:line="240" w:lineRule="atLeast"/>
        <w:ind w:right="0" w:rightChars="0"/>
        <w:jc w:val="left"/>
        <w:rPr>
          <w:rFonts w:hint="default" w:eastAsia="宋体"/>
          <w:lang w:val="en-US" w:eastAsia="zh-CN"/>
        </w:rPr>
      </w:pPr>
    </w:p>
    <w:p w14:paraId="37A5B283">
      <w:pPr>
        <w:pStyle w:val="8"/>
        <w:keepNext w:val="0"/>
        <w:keepLines w:val="0"/>
        <w:widowControl/>
        <w:suppressLineNumbers w:val="0"/>
        <w:spacing w:before="0" w:beforeAutospacing="0" w:after="240" w:afterAutospacing="0"/>
        <w:ind w:left="0" w:right="0" w:firstLine="0"/>
        <w:rPr>
          <w:rFonts w:ascii="Arial" w:hAnsi="Arial" w:eastAsia="Arial" w:cs="Arial"/>
          <w:b/>
          <w:bCs/>
          <w:i w:val="0"/>
          <w:iCs w:val="0"/>
          <w:caps w:val="0"/>
          <w:color w:val="222222"/>
          <w:spacing w:val="2"/>
        </w:rPr>
      </w:pPr>
      <w:r>
        <w:rPr>
          <w:rFonts w:hint="default" w:ascii="Arial" w:hAnsi="Arial" w:eastAsia="Arial" w:cs="Arial"/>
          <w:b/>
          <w:bCs/>
          <w:i w:val="0"/>
          <w:iCs w:val="0"/>
          <w:caps w:val="0"/>
          <w:color w:val="222222"/>
          <w:spacing w:val="2"/>
        </w:rPr>
        <w:t>Reviewer 1</w:t>
      </w:r>
    </w:p>
    <w:p w14:paraId="5C1F6E41">
      <w:pPr>
        <w:pStyle w:val="8"/>
        <w:keepNext w:val="0"/>
        <w:keepLines w:val="0"/>
        <w:widowControl/>
        <w:suppressLineNumbers w:val="0"/>
        <w:spacing w:before="0" w:beforeAutospacing="0" w:after="360" w:afterAutospacing="0"/>
        <w:ind w:left="0" w:right="0" w:firstLine="0"/>
        <w:rPr>
          <w:rFonts w:hint="default" w:ascii="Arial" w:hAnsi="Arial" w:eastAsia="Arial" w:cs="Arial"/>
          <w:i w:val="0"/>
          <w:iCs w:val="0"/>
          <w:caps w:val="0"/>
          <w:color w:val="222222"/>
          <w:spacing w:val="2"/>
        </w:rPr>
      </w:pPr>
      <w:r>
        <w:rPr>
          <w:rFonts w:hint="default" w:ascii="Arial" w:hAnsi="Arial" w:eastAsia="Arial" w:cs="Arial"/>
          <w:i w:val="0"/>
          <w:iCs w:val="0"/>
          <w:caps w:val="0"/>
          <w:color w:val="222222"/>
          <w:spacing w:val="2"/>
        </w:rPr>
        <w:t>1.Can you clarify why PPO-Lagrangian was not given an equivalent hyperparameter sensitivity sweep (analogous to the TTC/speed sweeps for Guard/Shield/Gated-risk) before concluding it fails to recover progress-preserving behavior?</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2.How sensitive are the headline density-0.15 results to the specific choice of MetaDrive scenario generation seed/traffic pattern, beyond the three training seeds reported?</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3.Given the very high intervention frequency (67–85 per 100 steps), what fraction of "route completion" is attributable to the runtime operator directly commanding the vehicle versus the learned policy's own decisions?</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4.Could you elaborate on why the No-action guard variant, despite risk-shaped reward, still reaches 100% cost — does this suggest the reward shaping coefficients were insufficiently tuned, or is this a more fundamental property of reward-only approaches?</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5.Have you evaluated GuardShield-Runtime on any other simulator (e.g., CARLA) or scenario generator to check whether the reported operating envelope (degradation at density 0.25) is MetaDrive-specific?</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6.The TTC monitor formula (Eq. 6) considers only forward vehicles with positive closing speed — how does the system handle cut-in or lateral merge scenarios where risk arises from vehicles not captured by this forward-cone definition?</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7.Can you provide wall-clock timing comparisons against the RSS/TTC filter baseline to clarify whether GuardShield-Runtime's added monitoring (lane, progress-gating) introduces meaningful overhead relative to a simpler rule-based filter?</w:t>
      </w:r>
    </w:p>
    <w:p w14:paraId="696EC7BD">
      <w:pPr>
        <w:pStyle w:val="8"/>
        <w:keepNext w:val="0"/>
        <w:keepLines w:val="0"/>
        <w:widowControl/>
        <w:suppressLineNumbers w:val="0"/>
        <w:spacing w:before="0" w:beforeAutospacing="0" w:after="240" w:afterAutospacing="0"/>
        <w:ind w:left="0" w:right="0" w:firstLine="0"/>
        <w:rPr>
          <w:rFonts w:hint="default" w:ascii="Arial" w:hAnsi="Arial" w:eastAsia="Arial" w:cs="Arial"/>
          <w:b/>
          <w:bCs/>
          <w:i w:val="0"/>
          <w:iCs w:val="0"/>
          <w:caps w:val="0"/>
          <w:color w:val="222222"/>
          <w:spacing w:val="2"/>
        </w:rPr>
      </w:pPr>
      <w:r>
        <w:rPr>
          <w:rFonts w:hint="default" w:ascii="Arial" w:hAnsi="Arial" w:eastAsia="Arial" w:cs="Arial"/>
          <w:b/>
          <w:bCs/>
          <w:i w:val="0"/>
          <w:iCs w:val="0"/>
          <w:caps w:val="0"/>
          <w:color w:val="222222"/>
          <w:spacing w:val="2"/>
        </w:rPr>
        <w:t>Reviewer 2</w:t>
      </w:r>
    </w:p>
    <w:p w14:paraId="797EA770">
      <w:pPr>
        <w:pStyle w:val="8"/>
        <w:keepNext w:val="0"/>
        <w:keepLines w:val="0"/>
        <w:widowControl/>
        <w:suppressLineNumbers w:val="0"/>
        <w:spacing w:before="0" w:beforeAutospacing="0" w:after="360" w:afterAutospacing="0"/>
        <w:ind w:left="0" w:right="0" w:firstLine="0"/>
        <w:rPr>
          <w:rFonts w:hint="default" w:ascii="Arial" w:hAnsi="Arial" w:eastAsia="Arial" w:cs="Arial"/>
          <w:i w:val="0"/>
          <w:iCs w:val="0"/>
          <w:caps w:val="0"/>
          <w:color w:val="222222"/>
          <w:spacing w:val="2"/>
        </w:rPr>
      </w:pPr>
      <w:r>
        <w:rPr>
          <w:rFonts w:hint="default" w:ascii="Arial" w:hAnsi="Arial" w:eastAsia="Arial" w:cs="Arial"/>
          <w:i w:val="0"/>
          <w:iCs w:val="0"/>
          <w:caps w:val="0"/>
          <w:color w:val="222222"/>
          <w:spacing w:val="2"/>
        </w:rPr>
        <w:t>Recommendation: Major changes</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Dear Author,</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This manuscript addresses a legitimate problem in safe reinforcement learning: a controller can obtain a low collision-oriented cost by suppressing motion rather than by safely completing the task. The proposal to interpret safety cost jointly with route completion, stopping, low progress, TTC exposure, and intervention burden is sensible, and the frozen-checkpoint comparison of TTC-only, speed-only, and combined intervention is the strongest part of the study. Nevertheless, the current evidence does not yet meet the standard of technical soundness and reproducibility required for publication in Scientific Reports. The principal problems concern unclear experimental lineage, incomplete specification of the learning objective, unmatched baselines, insufficient statistical independence, and conclusions that are broader than the experiments support. Scientific Reports asks reviewers to determine whether the methods and analysis are appropriate, whether the claims are convincing, and whether the conclusions are fully supported by the data; substantial additional work is needed on each of these points.</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The definitions of the experimental variants must first be resolved. Sections 3.3 and 3.7 and Table 2 describe both “Risk-only” and “No-action guard” as using the risk-oriented reward without execution-side action modification. Despite their apparently identical definitions, Risk-only produces 0% cost, 100% stopping, and 0.9% route completion, whereas No-action guard produces 100% cost, almost no stopping, and 21.7% route completion. These diametrically different results cannot be interpreted without knowing precisely how the two training runs differ. A revised manuscript should include a complete configuration-difference table showing, for every reported row, the checkpoint identifiers, training reward, curriculum, environment distribution, whether an intervention was active during training, whether it was active during evaluation, checkpoint-selection rule, training seeds, and evaluation scenario seeds. Similarly, Section 5.1 states that the PPO backbone is the fixed policy used by the runtime-filter rows, whereas Sections 3.3 and 3.7 describe Guard and Shield as separately trained under different training contexts. The relationship among the PPO backbone, Guard, Shield, Gated-risk, and the policies used in Table 4 therefore remains ambiguous. A checkpoint-lineage diagram is needed so that readers can determine which comparisons change only the runtime operator and which also change the learned policy.</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The learning objective is not reproducible from the manuscript. Section 3.3 states that the reward includes task reward scaling, simulator cost, TTC risk, lane deviation, action variation, overspeed, route progress, idling, success, collision, and out-of-road terms, and it states that the coefficients are reported in Appendix A. However, Appendix A does not provide the complete reward equation or these coefficients. This omission is particularly serious because the central “stationary safety” result may be caused by the relative weighting of the custom risk, progress, and idle terms. Please provide the exact reward equation and every coefficient for every variant, including normalization, clipping, units, and whether each term is evaluated before or after intervention. The full curriculum schedule, including density, map complexity, event probability, horizon, and transition points, must also be reported. The checkpoint-selection procedure should state explicitly whether the final checkpoint, the best validation checkpoint, or another checkpoint was used and which metric governed selection. The journal requires enough methodological detail for other researchers to reproduce the work; essential information should not be deferred solely to an unavailable configuration snapshot.</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The central claim about stationary safety currently rests almost entirely on one custom Risk-only reward formulation. Demonstrating that one reward design leads to stopping is useful as a failure case, but it does not establish that cost-oriented safe-RL evaluation generally produces this artifact. The authors should either narrow the conclusion to the particular reward formulation studied or demonstrate robustness through a systematic sweep of risk, progress, and idle coefficients and, preferably, through more than one established constrained or risk-sensitive RL implementation. At minimum, the revised analysis should show the range of reward weights over which stationary solutions arise and distinguish policy collapse from deliberate cost minimization. The proposed Gated-risk mechanism also requires its own clean ablation: a Gated-risk policy evaluated without the runtime intervention should be compared with an otherwise identical ungated risk policy. In the present experiments, Gated-risk changes both training-time reward logic and execution-time control, so the evidence does not isolate whether the motion gate reduces stationary exploitation.</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The external runtime-filter comparison is not presently fair. The proposed operator uses a base TTC threshold of 12 s, corresponding to hard and soft thresholds of 7.2 and 12 s, together with an 18 km/h target speed. The external TTC/RSS-style comparator instead uses thresholds of 3.5 and 6 s and a 20 km/h target speed. Figure 4 is especially revealing: at a nominal TTC threshold of 6 s, the proposed variants have costs of approximately 40.8–45.8%, which are close to the comparator’s 44.2% cost. The headline difference in Table 5 may therefore be largely attributable to a more conservative threshold and lower target speed rather than to a distinct architecture. The comparator and proposed method should be evaluated under matched thresholds and target speeds, or each should be tuned using the same prespecified validation set and tuning budget, followed by evaluation on a held-out test set. Preferably, the authors should present cost–progress Pareto curves across matched parameter sweeps instead of comparing one selected configuration with one untuned comparator. In addition, the term “RSS” should be removed unless the comparator implements the actual Responsibility-Sensitive Safety model; RSS is a formal mathematical safety-assurance framework and is not equivalent to a simple TTC threshold rule. A label such as “TTC heuristic filter” would be more accurate for the described implementation.</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The PPO-Lagrangian comparison is also insufficient to support comparative conclusions. Only one apparently unsuccessful configuration is reported, with no hyperparameter-selection procedure, validation results, learning curves, constraint trajectories, or evidence that the implementation reproduces expected behavior on a simpler reference task. The cost limit and Lagrange multiplier settings are not interpretable without the precise training-cost definition and scale. Please validate the implementation, report a reasonable hyperparameter sweep with the same computational budget afforded to the proposed method, and include per-seed learning curves for return, cost, route progress, and multiplier values. Otherwise, the PPO-Lagrangian row should be treated only as an unsuccessful pilot implementation and should not be used as evidence that runtime intervention is preferable to constrained training.</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The statistical unit of analysis requires substantial correction. The manuscript pools 40 episodes from each of three trained checkpoints into 120 episodes and calculates Wilson intervals as though all episodes were independent replicates. The independent experimental units for algorithm-level claims are the independently trained policies, not the episodes nested within each policy. Pooling episodes produces pseudoreplication and understates uncertainty due to training variability. Please increase the number of independent training seeds and justify the number through a precision or power argument. All methods should then be evaluated on the same set of scenario seeds, enabling paired comparisons. Results should be reported at the training-seed level, with an appropriate hierarchical or cluster bootstrap, mixed-effects analysis, or paired seed-level analysis. Confidence intervals are needed not only for binary success and cost outcomes but also for route completion, TTC-danger fraction, stopping, intervention burden, completion time, and realized speed. The journal’s statistical guidance requires the sample size, measure of centre, and measure of variability to be stated clearly for each dataset.</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The evaluation protocol should explicitly separate training, parameter selection, and final testing. It is currently unclear how the 12 s TTC threshold and 18 km/h target speed were selected, whether the reported density-0.15 data influenced those choices, and whether the sensitivity runs reused any evaluation scenarios. A held-out validation scenario set should be used for threshold and hyperparameter selection, while all headline numbers should come from untouched test scenarios. Common random numbers should be used so that each method encounters the same maps, traffic realizations, background-driver behavior, and initial conditions. The revised Methods should report MetaDrive map configuration, route-length distribution, number of procedural maps, traffic-manager settings, vehicle and sensor configurations, observation dimensions, simulation and control frequency, decision repeat, action-to-physical-acceleration mapping, termination settings, and all random-seed handling. Varying traffic density alone does not provide enough information to reconstruct the task.</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Several runtime-monitor details are also missing. The set of “forward vehicles” in Equation 6 needs exact longitudinal and lateral inclusion criteria, coordinate-frame definitions, handling of vehicle dimensions, maximum sensing range, and treatment of curved roads, intersections, and vehicles changing lanes. The manuscript should state whether lane deviation is an absolute magnitude, how route progress is normalized, and how the TTC-risk score is computed from TTC. The complete continuous risk term ct risk is never defined. The physical meaning of normalized braking commands of −0.6 and −1.0 should also be provided. These details are necessary both for replication and for understanding why a very long TTC threshold produces frequent intervention.</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The combined TTC-and-speed result may be confounded by effective speed reduction. The revised paper should report the realized speed distribution, travel time, braking frequency, acceleration and jerk distributions, and magnitude and duration of interventions. A speed-matched control is required—for example, an unshielded or simply speed-limited policy whose mean speed matches that of the combined intervention. This would determine whether the reduction in cost comes from TTC-specific regulation or primarily from driving more slowly. Approximately 68–71 interventions per 100 steps at density 0.15 indicate that the wrapper modifies longitudinal control during most of the trajectory. Intervention frequency alone is not sufficient; please report the proportion of commands subject to hard braking, soft braking, and speed limiting, as well as the average action correction. The resulting system should be described as a hybrid policy–rule controller rather than suggesting that the learned policy itself has become safe.</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The outcome definitions and interpretation should be revised. The quantity called “cost” is actually the percentage of episodes containing a collision or out-of-road event, rather than a cumulative or expected CMDP cost. It would be clearer to call this the “safety-event rate” or “failure-event rate.” Moreover, success and cost do not exhaust the outcomes. For Guard and Gated-risk at density 0.15, success plus cost equals only 80%, implying that approximately 20% of episodes terminate at the horizon without either success or a recorded failure. These timeouts should be reported explicitly in every main table. The combination of approximately 86–87% mean route completion with only 59–62% success also requires explanation. Please report route-completion distributions, time-to-success, time-to-failure, and horizon-termination rates. Step-level TTC-danger and intervention percentages can be distorted by different episode lengths and early collision termination, so the aggregation procedure should be stated and per-episode summaries should be presented alongside pooled-step statistics.</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The scope of the conclusions should be narrowed unless broader testing is added. All evidence comes from one simulator and density is the principal scenario variable. A stronger revision would evaluate unseen procedural maps, intersections, merges, lane changes, different traffic-agent behavior parameters, sensor perturbations, and at least one out-of-distribution scenario set. Without such experiments, the conclusions should be limited to the reported MetaDrive configuration. The terms “safe” and “shield” should also be used cautiously: even the best method has an 18.3% safety-event rate at density 0.15, increasing to more than 40–50% at density 0.25. The manuscript acknowledges the absence of formal certification, but the title, abstract, and conclusion should consistently describe risk reduction and diagnostic intervention rather than implying achieved safety.</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The timing analysis in Figure 5 should either be redesigned or removed. Policy-inference p95 differs substantially between variants even though the policies apparently use the same network architecture, which indicates that the measurement is confounded by trajectory, warm-up, system load, or measurement procedure. To support a computational-overhead claim, run the policy and intervention operators on identical recorded observation/action traces, report hardware synchronization and warm-up procedures, and separately measure policy inference, TTC computation, speed guarding, logging, and total added latency. Current trajectory-dependent Python loop times do not establish the overhead of the runtime mechanism.</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Finally, the manuscript would benefit from substantial consolidation. The abstract and Figure 1 state that TTC, speed, route progress, and lane signals are used to classify runtime risk before intervention, whereas Equations 7–9 show that the execution operator depends only on TTC and speed; route and lane information appears to be used for reward gating or diagnostics. This distinction should be corrected throughout. Much of the cybernetic discussion repeats the same interpretation without adding experimental evidence and could be shortened. The appendices should be moved into a dedicated Supplementary Information file, tables and figures should be reduced to the essential evidence, and the references should be converted to the journal’s numerical Nature style. Scientific Reports recommends concise presentation, limits main-text display items, and asks that supplementary material be supplied separately with the submission.</w:t>
      </w:r>
    </w:p>
    <w:p w14:paraId="1FA82F48">
      <w:pPr>
        <w:pStyle w:val="8"/>
        <w:keepNext w:val="0"/>
        <w:keepLines w:val="0"/>
        <w:widowControl/>
        <w:suppressLineNumbers w:val="0"/>
        <w:spacing w:before="0" w:beforeAutospacing="0" w:after="240" w:afterAutospacing="0"/>
        <w:ind w:left="0" w:right="0" w:firstLine="0"/>
        <w:rPr>
          <w:rFonts w:hint="default" w:ascii="Arial" w:hAnsi="Arial" w:eastAsia="Arial" w:cs="Arial"/>
          <w:b/>
          <w:bCs/>
          <w:i w:val="0"/>
          <w:iCs w:val="0"/>
          <w:caps w:val="0"/>
          <w:color w:val="222222"/>
          <w:spacing w:val="2"/>
        </w:rPr>
      </w:pPr>
      <w:r>
        <w:rPr>
          <w:rFonts w:hint="default" w:ascii="Arial" w:hAnsi="Arial" w:eastAsia="Arial" w:cs="Arial"/>
          <w:b/>
          <w:bCs/>
          <w:i w:val="0"/>
          <w:iCs w:val="0"/>
          <w:caps w:val="0"/>
          <w:color w:val="222222"/>
          <w:spacing w:val="2"/>
        </w:rPr>
        <w:t>Reviewer 3</w:t>
      </w:r>
    </w:p>
    <w:p w14:paraId="2ACC53F1">
      <w:pPr>
        <w:pStyle w:val="8"/>
        <w:keepNext w:val="0"/>
        <w:keepLines w:val="0"/>
        <w:widowControl/>
        <w:suppressLineNumbers w:val="0"/>
        <w:spacing w:before="0" w:beforeAutospacing="0" w:after="360" w:afterAutospacing="0"/>
        <w:ind w:left="0" w:right="0" w:firstLine="0"/>
        <w:rPr>
          <w:rFonts w:hint="default" w:ascii="Arial" w:hAnsi="Arial" w:eastAsia="Arial" w:cs="Arial"/>
          <w:i w:val="0"/>
          <w:iCs w:val="0"/>
          <w:caps w:val="0"/>
          <w:color w:val="222222"/>
          <w:spacing w:val="2"/>
        </w:rPr>
      </w:pPr>
      <w:r>
        <w:rPr>
          <w:rFonts w:hint="default" w:ascii="Arial" w:hAnsi="Arial" w:eastAsia="Arial" w:cs="Arial"/>
          <w:i w:val="0"/>
          <w:iCs w:val="0"/>
          <w:caps w:val="0"/>
          <w:color w:val="222222"/>
          <w:spacing w:val="2"/>
        </w:rPr>
        <w:t>The manuscript investigates the “pseudo-safety” phenomenon in safe reinforcement learning, in which an autonomous vehicle may reduce safety costs by suppressing motion rather than by regulating risk while maintaining route progress in dense traffic. This topic is practically relevant, and the joint evaluation of collision cost, route completion, stopping behavior, and intervention burden is reasonable. However, the sole author is affiliated with the Institute of European and American Cultural Philosophy at Tianjin Foreign Studies University, whose publicly stated academic focus appears to be substantially different from autonomous driving, safe reinforcement learning, and control engineering. Interdisciplinary research is not itself a concern, but the manuscript does not sufficiently explain the supporting technical team, computing platform, experimental supervision, or collaborative resources available for this study. Nor does it clarify how a single author independently completed reinforcement-learning training, reproduction of multiple baselines, large-scale simulation experiments, and verification of the reported results. The author should therefore provide more complete and verifiable code, configuration files, training logs, and episode-level raw data to establish the authenticity and reproducibility of the experiments.</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1. The core runtime mechanism of GuardShield-Runtime mainly consists of threshold-based braking using forward TTC, acceleration restrictions under overspeed conditions, and relatively simple reward gating. These components are closely related to existing TTC-based safety filters, runtime shielding, and Simplex/runtime-assurance frameworks. The manuscript largely reorganizes existing mechanisms using concepts such as “artifact-aware evaluation” and “cybernetic feedback,” but it does not present a substantially new safety-constraint theory, optimization method, stability analysis, or formal guarantee. The authors should more clearly identify the substantive technical novelty over existing runtime safety-filtering approaches, rather than emphasizing mainly a new system-level presentation and evaluation framework.</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2. The proposed method uses hard and soft TTC thresholds of approximately 7.2 s and 12.0 s, together with a target speed of 18 km/h, whereas the RSS/TTC baseline uses thresholds of 3.5 s and 6.0 s and a target speed of 20 km/h. The manuscript also explicitly states that the baseline was not systematically tuned. More conservative TTC thresholds and a lower target speed may themselves substantially reduce collision probability. Therefore, the current results do not adequately demonstrate whether the reported improvement is attributable to the proposed framework or merely to different parameter settings. All runtime baselines should be evaluated using the same parameter-search space, optimization budget, and test scenarios, with sensitivity analyses and the best-performing configurations reported. In addition, the so-called “RSS/TTC filter” appears to be primarily a TTC-based rule rather than a complete implementation of the RSS model, which should be clarified.</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3. The main text states that the risk-aware reward includes task-reward scaling and penalties or rewards associated with simulator cost, TTC risk, lane deviation, action variation, overspeed, route progress, idling, success, collision, and out-of-road events. It further states that detailed coefficients are provided in the appendix. However, the current appendix does not list the complete numerical weights of these reward components. The curriculum settings for traffic density, map complexity, event probability, and training horizon are also not fully specified. Since the performance of Risk-only, No-action guard, and Gated-risk is highly dependent on reward design, these omissions directly affect reproducibility and the interpretation of the experimental findings. The complete reward function, all coefficients, curriculum stages, checkpoint-selection procedure, and full baseline configurations should be provided.</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4. The manuscript does not adequately report the number of training and testing maps, road structures, number of lanes, route lengths, vehicle-generation rules, or whether the training and testing scenarios overlap. In the TTC calculation, the lateral-distance condition is described only as an “acceptable lateral offset,” without a numerical threshold. It is also unclear whether the forward distance accounts for vehicle dimensions, vehicle cut-ins, curved roads, and occlusions. The proposed method modifies only longitudinal actions while leaving steering unchanged, and it may apply strong braking commands when risk is detected. However, the manuscript does not evaluate possible rear-end collisions, excessive deceleration, passenger discomfort, or control oscillations caused by these interventions. The current experiments are therefore insufficient to fully support the claimed effectiveness of the method for safe intervention in dense traffic.</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5. Only three independently trained seeds are used. The Wilson intervals reported in the appendix treat multiple evaluation episodes generated from the same small set of trained checkpoints as samples, but these episode-level intervals cannot replace independent training-level replication. Moreover, Tables 3 and 4 report different route-completion and TTC-danger values for the PPO backbone under apparently similar traffic density, checkpoint, and episode-count settings. Sensitivity experiments with the same nominal parameter values also differ from the main experimental results. Although the manuscript attributes these differences to independent reruns, the random scenario seeds should be explicitly reported, and paired episode-level comparisons under identical scenarios, together with hierarchical bootstrap analysis, should be conducted. Furthermore, at traffic density 0.15, the proposed methods still exhibit safety costs of approximately 18%–21% and require about 68–71 interventions per 100 control steps. This indicates that the underlying policy remains highly dependent on external rule-based correction. The practical deployment value of such a high intervention frequency, and whether the reported improvement mainly results from sustained overriding of the learned policy, require further discussion and experimental validation.</w:t>
      </w:r>
    </w:p>
    <w:p w14:paraId="029D06C4">
      <w:pPr>
        <w:pStyle w:val="8"/>
        <w:keepNext w:val="0"/>
        <w:keepLines w:val="0"/>
        <w:widowControl/>
        <w:suppressLineNumbers w:val="0"/>
        <w:spacing w:before="0" w:beforeAutospacing="0" w:after="240" w:afterAutospacing="0"/>
        <w:ind w:left="0" w:right="0" w:firstLine="0"/>
        <w:rPr>
          <w:rFonts w:hint="default" w:ascii="Arial" w:hAnsi="Arial" w:eastAsia="Arial" w:cs="Arial"/>
          <w:b/>
          <w:bCs/>
          <w:i w:val="0"/>
          <w:iCs w:val="0"/>
          <w:caps w:val="0"/>
          <w:color w:val="222222"/>
          <w:spacing w:val="2"/>
        </w:rPr>
      </w:pPr>
      <w:r>
        <w:rPr>
          <w:rFonts w:hint="default" w:ascii="Arial" w:hAnsi="Arial" w:eastAsia="Arial" w:cs="Arial"/>
          <w:b/>
          <w:bCs/>
          <w:i w:val="0"/>
          <w:iCs w:val="0"/>
          <w:caps w:val="0"/>
          <w:color w:val="222222"/>
          <w:spacing w:val="2"/>
        </w:rPr>
        <w:t>Reviewer 4</w:t>
      </w:r>
    </w:p>
    <w:p w14:paraId="18A4D4A6">
      <w:pPr>
        <w:pStyle w:val="8"/>
        <w:keepNext w:val="0"/>
        <w:keepLines w:val="0"/>
        <w:widowControl/>
        <w:suppressLineNumbers w:val="0"/>
        <w:spacing w:before="0" w:beforeAutospacing="0" w:after="0" w:afterAutospacing="0"/>
        <w:ind w:left="0" w:right="0" w:firstLine="0"/>
        <w:rPr>
          <w:rFonts w:hint="default" w:ascii="Arial" w:hAnsi="Arial" w:eastAsia="Arial" w:cs="Arial"/>
          <w:i w:val="0"/>
          <w:iCs w:val="0"/>
          <w:caps w:val="0"/>
          <w:color w:val="222222"/>
          <w:spacing w:val="2"/>
        </w:rPr>
      </w:pPr>
      <w:r>
        <w:rPr>
          <w:rFonts w:hint="default" w:ascii="Arial" w:hAnsi="Arial" w:eastAsia="Arial" w:cs="Arial"/>
          <w:i w:val="0"/>
          <w:iCs w:val="0"/>
          <w:caps w:val="0"/>
          <w:color w:val="222222"/>
          <w:spacing w:val="2"/>
        </w:rPr>
        <w:t>The manuscript addresses an important weakness in safe reinforcement-learning evaluation: a policy can appear safe by stopping rather than by managing risk while completing its task. The paper is generally well organized, and the same-checkpoint intervention study is useful. My comments are, as follows:</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1. The stationary behavior described in the paper is closely related to reward hacking and specification gaming, while TTC filtering, speed guards, shielding, and runtime assurance are established approaches. Clearly explain what is technically new beyond combining these known components into one evaluation framework.</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2. At present, the main artifact is produced by the selected Risk-only reward. Evaluate whether the same behavior occurs under several cost weights, constraint limits, or established safe-RL formulations. Otherwise, the finding may reflect one poorly balanced reward rather than a broader safe-RL problem.</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3. The proposed method and the RSS/TTC comparator use different target speeds and TTC thresholds. The comparator is also not tuned. Compare both methods under matched settings and use a validation procedure to select parameters for each method.</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4. The PPO-Lagrangian baseline fails in every evaluated episode. This raises concerns about its implementation or tuning. Include learning curves, constraint values, convergence behavior, and a reasonable hyperparameter search. At least one additional established safe-RL baseline should be evaluated.</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5. Three seeds are insufficient for reliable reinforcement-learning comparisons. Episode-level Wilson intervals do not capture variability between independently trained policies. Report results over more training seeds and use seed-level or hierarchical statistical analysis.</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6. The same methods should be tested on identical maps, traffic configurations, and environment seeds. Paired comparisons would provide stronger evidence that differences result from the intervention rather than scenario variation.</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7. The runtime layer overrides approximately 68 to 71 percent of actions in the main experiment, and more than 80 percent in some lower-density settings. Report intervention magnitude, duration, braking frequency, jerk, travel time, and driving comfort. A rule-based controller without reinforcement learning should also be included to determine how much value the learned policy adds.</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8. A cost rate of approximately 18 to 21 percent is still substantial. The results demonstrate reduced cost, not safe driving. Claims should consistently distinguish between improved simulator performance and actual safety.</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9. Binary episode cost does not distinguish between early and late collisions or between different levels of severity. Report collisions per distance travelled, time to collision, minimum TTC, collision type, and episode duration.</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10. Traffic density alone does not provide sufficient diversity. Evaluate unseen maps, different traffic behaviors, cut-ins, intersections, lane changes, and different vehicle dynamics. Testing in another simulator or standardized safety benchmark would substantially strengthen the evidence.</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11. The monitor considers forward vehicles and leaves steering unchanged. Explain how lateral vehicles, cut-ins, intersection conflicts, and lane changes are treated. Provide collision statistics showing which failure types remain after intervention.</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12. State exactly how checkpoints were selected, whether a validation environment was used, and whether threshold sweeps were examined before the main results were finalized. Test data should not be used for selecting intervention parameters.</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13. The sensor-actuator-controller interpretation is reasonable, but it is largely descriptive. The paper should explain what new cybernetic insight or feedback-design principle is obtained beyond relabeling the components of a standard runtime safety loop.</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14. Statements about simulator limitations, evidence boundaries, and the absence of formal certification appear repeatedly. These points are important but can be stated more concisely.</w:t>
      </w:r>
      <w:r>
        <w:rPr>
          <w:rFonts w:hint="default" w:ascii="Arial" w:hAnsi="Arial" w:eastAsia="Arial" w:cs="Arial"/>
          <w:i w:val="0"/>
          <w:iCs w:val="0"/>
          <w:caps w:val="0"/>
          <w:color w:val="222222"/>
          <w:spacing w:val="2"/>
        </w:rPr>
        <w:br w:type="textWrapping"/>
      </w:r>
      <w:r>
        <w:rPr>
          <w:rFonts w:hint="default" w:ascii="Arial" w:hAnsi="Arial" w:eastAsia="Arial" w:cs="Arial"/>
          <w:i w:val="0"/>
          <w:iCs w:val="0"/>
          <w:caps w:val="0"/>
          <w:color w:val="222222"/>
          <w:spacing w:val="2"/>
        </w:rPr>
        <w:t>Make the supplementary material permanently available. The code, environment configuration, training logs, scenario seeds, raw results, and table-generation scripts should be released through an archival repository when permitted by the journal.</w:t>
      </w:r>
      <w:bookmarkStart w:id="0" w:name="_GoBack"/>
      <w:bookmarkEnd w:id="0"/>
    </w:p>
    <w:p w14:paraId="3AFF82A5">
      <w:pPr>
        <w:pStyle w:val="8"/>
        <w:keepNext w:val="0"/>
        <w:keepLines w:val="0"/>
        <w:widowControl/>
        <w:numPr>
          <w:ilvl w:val="0"/>
          <w:numId w:val="0"/>
        </w:numPr>
        <w:suppressLineNumbers w:val="0"/>
        <w:spacing w:before="0" w:beforeAutospacing="1" w:after="0" w:afterAutospacing="1" w:line="240" w:lineRule="atLeast"/>
        <w:ind w:right="0" w:rightChars="0"/>
        <w:jc w:val="left"/>
        <w:rPr>
          <w:rFonts w:hint="default" w:eastAsia="宋体"/>
          <w:lang w:val="en-US" w:eastAsia="zh-CN"/>
        </w:rPr>
      </w:pPr>
    </w:p>
    <w:p w14:paraId="06028430">
      <w:pPr>
        <w:pStyle w:val="8"/>
        <w:keepNext w:val="0"/>
        <w:keepLines w:val="0"/>
        <w:widowControl/>
        <w:numPr>
          <w:ilvl w:val="0"/>
          <w:numId w:val="0"/>
        </w:numPr>
        <w:suppressLineNumbers w:val="0"/>
        <w:spacing w:before="0" w:beforeAutospacing="1" w:after="0" w:afterAutospacing="1" w:line="240" w:lineRule="atLeast"/>
        <w:ind w:right="0" w:rightChars="0"/>
        <w:jc w:val="left"/>
        <w:rPr>
          <w:rFonts w:hint="default" w:eastAsia="宋体"/>
          <w:lang w:val="en-US" w:eastAsia="zh-CN"/>
        </w:rPr>
      </w:pPr>
    </w:p>
    <w:p w14:paraId="3C07D545">
      <w:pPr>
        <w:pStyle w:val="8"/>
        <w:keepNext w:val="0"/>
        <w:keepLines w:val="0"/>
        <w:widowControl/>
        <w:numPr>
          <w:ilvl w:val="0"/>
          <w:numId w:val="0"/>
        </w:numPr>
        <w:suppressLineNumbers w:val="0"/>
        <w:spacing w:before="0" w:beforeAutospacing="1" w:after="0" w:afterAutospacing="1" w:line="240" w:lineRule="atLeast"/>
        <w:ind w:right="0" w:rightChars="0"/>
        <w:jc w:val="left"/>
        <w:rPr>
          <w:rFonts w:hint="default" w:eastAsia="宋体"/>
          <w:lang w:val="en-US" w:eastAsia="zh-CN"/>
        </w:rPr>
      </w:pPr>
    </w:p>
    <w:p w14:paraId="206A8C18">
      <w:pPr>
        <w:pStyle w:val="8"/>
        <w:keepNext w:val="0"/>
        <w:keepLines w:val="0"/>
        <w:widowControl/>
        <w:numPr>
          <w:ilvl w:val="0"/>
          <w:numId w:val="0"/>
        </w:numPr>
        <w:suppressLineNumbers w:val="0"/>
        <w:spacing w:before="0" w:beforeAutospacing="1" w:after="0" w:afterAutospacing="1" w:line="240" w:lineRule="atLeast"/>
        <w:ind w:right="0" w:rightChars="0"/>
        <w:jc w:val="left"/>
        <w:rPr>
          <w:rFonts w:hint="default" w:eastAsia="宋体"/>
          <w:lang w:val="en-US" w:eastAsia="zh-CN"/>
        </w:rPr>
      </w:pPr>
    </w:p>
    <w:sectPr>
      <w:pgSz w:w="12240" w:h="15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86"/>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文泉驿微米黑">
    <w:panose1 w:val="020B0606030804020204"/>
    <w:charset w:val="86"/>
    <w:family w:val="auto"/>
    <w:pitch w:val="default"/>
    <w:sig w:usb0="E10002EF" w:usb1="6BDFFCFB" w:usb2="00800036" w:usb3="00000000" w:csb0="603E019F" w:csb1="DFD70000"/>
  </w:font>
  <w:font w:name="Consolas">
    <w:altName w:val="Gubbi"/>
    <w:panose1 w:val="020B0609020204030204"/>
    <w:charset w:val="00"/>
    <w:family w:val="modern"/>
    <w:pitch w:val="default"/>
    <w:sig w:usb0="00000000" w:usb1="00000000" w:usb2="00000001" w:usb3="00000000" w:csb0="0000019F" w:csb1="00000000"/>
  </w:font>
  <w:font w:name="Gubbi">
    <w:panose1 w:val="00000400000000000000"/>
    <w:charset w:val="00"/>
    <w:family w:val="auto"/>
    <w:pitch w:val="default"/>
    <w:sig w:usb0="00400000" w:usb1="00000000" w:usb2="00000000" w:usb3="00000000" w:csb0="00000000" w:csb1="00000000"/>
  </w:font>
  <w:font w:name="Webdings">
    <w:panose1 w:val="05030102010509060703"/>
    <w:charset w:val="00"/>
    <w:family w:val="auto"/>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 w:name="方正仿宋_GBK">
    <w:panose1 w:val="03000509000000000000"/>
    <w:charset w:val="86"/>
    <w:family w:val="auto"/>
    <w:pitch w:val="default"/>
    <w:sig w:usb0="00000001" w:usb1="080E0000" w:usb2="00000000" w:usb3="00000000" w:csb0="00040000" w:csb1="00000000"/>
  </w:font>
  <w:font w:name="文泉驿正黑">
    <w:panose1 w:val="02000603000000000000"/>
    <w:charset w:val="86"/>
    <w:family w:val="auto"/>
    <w:pitch w:val="default"/>
    <w:sig w:usb0="900002BF" w:usb1="2BDF7DFB" w:usb2="00000036" w:usb3="00000000" w:csb0="603E000D" w:csb1="D2D70000"/>
  </w:font>
  <w:font w:name="Asana Math">
    <w:panose1 w:val="02000603000000000000"/>
    <w:charset w:val="00"/>
    <w:family w:val="auto"/>
    <w:pitch w:val="default"/>
    <w:sig w:usb0="800000C7" w:usb1="0201E0FF" w:usb2="06000000" w:usb3="00000000" w:csb0="60000009" w:csb1="90D50000"/>
  </w:font>
  <w:font w:name="Arial">
    <w:panose1 w:val="020B0604020202020204"/>
    <w:charset w:val="00"/>
    <w:family w:val="auto"/>
    <w:pitch w:val="default"/>
    <w:sig w:usb0="00007A87" w:usb1="80000000" w:usb2="00000008"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5856"/>
    <w:rsid w:val="00075CD0"/>
    <w:rsid w:val="00123A96"/>
    <w:rsid w:val="00196B00"/>
    <w:rsid w:val="001A3F95"/>
    <w:rsid w:val="001B5752"/>
    <w:rsid w:val="001D6F00"/>
    <w:rsid w:val="002475FA"/>
    <w:rsid w:val="00276A39"/>
    <w:rsid w:val="003362CF"/>
    <w:rsid w:val="00380F19"/>
    <w:rsid w:val="003A65D7"/>
    <w:rsid w:val="004056EF"/>
    <w:rsid w:val="00445856"/>
    <w:rsid w:val="004A74A1"/>
    <w:rsid w:val="00537288"/>
    <w:rsid w:val="007C4246"/>
    <w:rsid w:val="00821E9F"/>
    <w:rsid w:val="008A39AB"/>
    <w:rsid w:val="008B32A8"/>
    <w:rsid w:val="00A2695E"/>
    <w:rsid w:val="00A70D46"/>
    <w:rsid w:val="00A97557"/>
    <w:rsid w:val="00B24247"/>
    <w:rsid w:val="00B41E26"/>
    <w:rsid w:val="00B56B53"/>
    <w:rsid w:val="00B724E2"/>
    <w:rsid w:val="00B76BEA"/>
    <w:rsid w:val="00C71E5F"/>
    <w:rsid w:val="00D20630"/>
    <w:rsid w:val="00F12D93"/>
    <w:rsid w:val="00F30B0E"/>
    <w:rsid w:val="00FF5EEE"/>
    <w:rsid w:val="07FE4B2D"/>
    <w:rsid w:val="0FFF941E"/>
    <w:rsid w:val="1FF24DB1"/>
    <w:rsid w:val="2DC783DE"/>
    <w:rsid w:val="2F7F22ED"/>
    <w:rsid w:val="2FFFAE0D"/>
    <w:rsid w:val="2FFFBD90"/>
    <w:rsid w:val="3DFFD15C"/>
    <w:rsid w:val="3F2F9BAE"/>
    <w:rsid w:val="3F5F6038"/>
    <w:rsid w:val="4897C3A0"/>
    <w:rsid w:val="497F4A76"/>
    <w:rsid w:val="4D0DF14B"/>
    <w:rsid w:val="4EFD41C7"/>
    <w:rsid w:val="53F31CFB"/>
    <w:rsid w:val="53FBFCE3"/>
    <w:rsid w:val="55E4294A"/>
    <w:rsid w:val="5D1FFABB"/>
    <w:rsid w:val="5D7D8255"/>
    <w:rsid w:val="5DFFD254"/>
    <w:rsid w:val="5FA5CC18"/>
    <w:rsid w:val="5FEFC18F"/>
    <w:rsid w:val="665FD691"/>
    <w:rsid w:val="697FFD1D"/>
    <w:rsid w:val="6BDFDA42"/>
    <w:rsid w:val="6FA78E26"/>
    <w:rsid w:val="6FDBC270"/>
    <w:rsid w:val="6FFFBF89"/>
    <w:rsid w:val="71FF2BCC"/>
    <w:rsid w:val="73BE304C"/>
    <w:rsid w:val="747E8E8E"/>
    <w:rsid w:val="78DBE2F2"/>
    <w:rsid w:val="79DFF09D"/>
    <w:rsid w:val="7BDCFE9A"/>
    <w:rsid w:val="7DDB2C83"/>
    <w:rsid w:val="7FB5F8BF"/>
    <w:rsid w:val="7FEB1DE6"/>
    <w:rsid w:val="7FEF6DE1"/>
    <w:rsid w:val="7FFFA9F0"/>
    <w:rsid w:val="9CFD6D3F"/>
    <w:rsid w:val="B7FC46A1"/>
    <w:rsid w:val="B97E56E1"/>
    <w:rsid w:val="BAE70850"/>
    <w:rsid w:val="BBF70554"/>
    <w:rsid w:val="BDFF9CBB"/>
    <w:rsid w:val="BFCE64EB"/>
    <w:rsid w:val="CDFC4A55"/>
    <w:rsid w:val="CFA14D16"/>
    <w:rsid w:val="CFEB8D62"/>
    <w:rsid w:val="D3CE5A92"/>
    <w:rsid w:val="D9CFCA72"/>
    <w:rsid w:val="DB7301FA"/>
    <w:rsid w:val="DBAB392D"/>
    <w:rsid w:val="DF3F0904"/>
    <w:rsid w:val="EFDDE4CC"/>
    <w:rsid w:val="F3FBDEC7"/>
    <w:rsid w:val="F44F8E71"/>
    <w:rsid w:val="F72F9839"/>
    <w:rsid w:val="F97369E0"/>
    <w:rsid w:val="FB6FAD9E"/>
    <w:rsid w:val="FC47C095"/>
    <w:rsid w:val="FCFFAFAC"/>
    <w:rsid w:val="FDBB5780"/>
    <w:rsid w:val="FDEF900D"/>
    <w:rsid w:val="FE760554"/>
    <w:rsid w:val="FEBCE50A"/>
    <w:rsid w:val="FEF11D9E"/>
    <w:rsid w:val="FEF22819"/>
    <w:rsid w:val="FF070586"/>
    <w:rsid w:val="FF7F1D56"/>
    <w:rsid w:val="FFB1951C"/>
    <w:rsid w:val="FFBD973B"/>
    <w:rsid w:val="FFFD58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tLeast"/>
    </w:pPr>
    <w:rPr>
      <w:rFonts w:ascii="Times New Roman" w:hAnsiTheme="minorHAnsi" w:eastAsiaTheme="minorHAnsi" w:cstheme="minorBidi"/>
      <w:sz w:val="22"/>
      <w:szCs w:val="22"/>
      <w:lang w:val="en-US" w:eastAsia="en-US" w:bidi="ar-SA"/>
    </w:rPr>
  </w:style>
  <w:style w:type="paragraph" w:styleId="2">
    <w:name w:val="heading 1"/>
    <w:basedOn w:val="1"/>
    <w:next w:val="1"/>
    <w:link w:val="26"/>
    <w:qFormat/>
    <w:uiPriority w:val="0"/>
    <w:pPr>
      <w:keepNext/>
      <w:keepLines/>
      <w:spacing w:before="340" w:after="330" w:line="578" w:lineRule="atLeast"/>
      <w:outlineLvl w:val="0"/>
    </w:pPr>
    <w:rPr>
      <w:b/>
      <w:bCs/>
      <w:kern w:val="44"/>
      <w:sz w:val="44"/>
      <w:szCs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5">
    <w:name w:val="footer"/>
    <w:basedOn w:val="1"/>
    <w:link w:val="32"/>
    <w:uiPriority w:val="0"/>
    <w:pPr>
      <w:tabs>
        <w:tab w:val="center" w:pos="4153"/>
        <w:tab w:val="right" w:pos="8306"/>
      </w:tabs>
      <w:snapToGrid w:val="0"/>
    </w:pPr>
    <w:rPr>
      <w:sz w:val="18"/>
      <w:szCs w:val="18"/>
    </w:rPr>
  </w:style>
  <w:style w:type="paragraph" w:styleId="6">
    <w:name w:val="header"/>
    <w:basedOn w:val="1"/>
    <w:link w:val="31"/>
    <w:uiPriority w:val="0"/>
    <w:pPr>
      <w:tabs>
        <w:tab w:val="center" w:pos="4153"/>
        <w:tab w:val="right" w:pos="8306"/>
      </w:tabs>
      <w:snapToGrid w:val="0"/>
      <w:jc w:val="center"/>
    </w:pPr>
    <w:rPr>
      <w:sz w:val="18"/>
      <w:szCs w:val="18"/>
    </w:rPr>
  </w:style>
  <w:style w:type="paragraph" w:styleId="7">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Emphasis"/>
    <w:basedOn w:val="10"/>
    <w:qFormat/>
    <w:uiPriority w:val="0"/>
    <w:rPr>
      <w:i/>
    </w:rPr>
  </w:style>
  <w:style w:type="character" w:styleId="13">
    <w:name w:val="Hyperlink"/>
    <w:basedOn w:val="10"/>
    <w:uiPriority w:val="0"/>
    <w:rPr>
      <w:color w:val="0000FF"/>
      <w:u w:val="single"/>
    </w:rPr>
  </w:style>
  <w:style w:type="character" w:styleId="14">
    <w:name w:val="HTML Code"/>
    <w:basedOn w:val="10"/>
    <w:qFormat/>
    <w:uiPriority w:val="0"/>
    <w:rPr>
      <w:rFonts w:ascii="Courier New" w:hAnsi="Courier New"/>
      <w:sz w:val="20"/>
    </w:rPr>
  </w:style>
  <w:style w:type="character" w:customStyle="1" w:styleId="15">
    <w:name w:val="Verbatim Char"/>
    <w:qFormat/>
    <w:uiPriority w:val="0"/>
    <w:rPr>
      <w:rFonts w:ascii="Consolas" w:hAnsi="Consolas"/>
      <w:sz w:val="22"/>
    </w:rPr>
  </w:style>
  <w:style w:type="paragraph" w:customStyle="1" w:styleId="16">
    <w:name w:val="篇名tju"/>
    <w:basedOn w:val="1"/>
    <w:link w:val="17"/>
    <w:qFormat/>
    <w:uiPriority w:val="0"/>
    <w:pPr>
      <w:spacing w:before="240" w:line="288" w:lineRule="auto"/>
      <w:jc w:val="center"/>
    </w:pPr>
    <w:rPr>
      <w:rFonts w:hAnsi="Times New Roman" w:eastAsia="黑体" w:cs="Times New Roman"/>
      <w:b/>
      <w:sz w:val="32"/>
      <w:lang w:eastAsia="zh-CN"/>
    </w:rPr>
  </w:style>
  <w:style w:type="character" w:customStyle="1" w:styleId="17">
    <w:name w:val="篇名tju 字符"/>
    <w:basedOn w:val="10"/>
    <w:link w:val="16"/>
    <w:uiPriority w:val="0"/>
    <w:rPr>
      <w:rFonts w:hAnsi="Times New Roman" w:eastAsia="黑体" w:cs="Times New Roman"/>
      <w:b/>
      <w:sz w:val="32"/>
      <w:szCs w:val="22"/>
    </w:rPr>
  </w:style>
  <w:style w:type="paragraph" w:customStyle="1" w:styleId="18">
    <w:name w:val="摘要tju"/>
    <w:basedOn w:val="1"/>
    <w:link w:val="19"/>
    <w:qFormat/>
    <w:uiPriority w:val="0"/>
    <w:pPr>
      <w:spacing w:after="360" w:line="240" w:lineRule="auto"/>
      <w:jc w:val="center"/>
    </w:pPr>
    <w:rPr>
      <w:rFonts w:hAnsi="Times New Roman" w:eastAsia="宋体" w:cs="Times New Roman"/>
      <w:b/>
      <w:sz w:val="44"/>
    </w:rPr>
  </w:style>
  <w:style w:type="character" w:customStyle="1" w:styleId="19">
    <w:name w:val="摘要tju 字符"/>
    <w:basedOn w:val="10"/>
    <w:link w:val="18"/>
    <w:uiPriority w:val="0"/>
    <w:rPr>
      <w:rFonts w:hAnsi="Times New Roman" w:eastAsia="宋体" w:cs="Times New Roman"/>
      <w:b/>
      <w:sz w:val="44"/>
      <w:szCs w:val="22"/>
      <w:lang w:eastAsia="en-US"/>
    </w:rPr>
  </w:style>
  <w:style w:type="paragraph" w:customStyle="1" w:styleId="20">
    <w:name w:val="正文tju"/>
    <w:basedOn w:val="1"/>
    <w:link w:val="21"/>
    <w:qFormat/>
    <w:uiPriority w:val="0"/>
    <w:pPr>
      <w:spacing w:after="0" w:line="400" w:lineRule="exact"/>
      <w:ind w:firstLine="200" w:firstLineChars="200"/>
    </w:pPr>
    <w:rPr>
      <w:rFonts w:hAnsi="Times New Roman" w:eastAsia="宋体" w:cs="Times New Roman"/>
      <w:sz w:val="24"/>
      <w:lang w:eastAsia="zh-CN"/>
    </w:rPr>
  </w:style>
  <w:style w:type="character" w:customStyle="1" w:styleId="21">
    <w:name w:val="正文tju 字符"/>
    <w:basedOn w:val="10"/>
    <w:link w:val="20"/>
    <w:uiPriority w:val="0"/>
    <w:rPr>
      <w:rFonts w:hAnsi="Times New Roman" w:eastAsia="宋体" w:cs="Times New Roman"/>
      <w:sz w:val="24"/>
      <w:szCs w:val="22"/>
    </w:rPr>
  </w:style>
  <w:style w:type="paragraph" w:customStyle="1" w:styleId="22">
    <w:name w:val="一级标题tju"/>
    <w:basedOn w:val="20"/>
    <w:link w:val="23"/>
    <w:qFormat/>
    <w:uiPriority w:val="0"/>
    <w:pPr>
      <w:spacing w:line="240" w:lineRule="auto"/>
      <w:ind w:firstLine="0" w:firstLineChars="0"/>
      <w:outlineLvl w:val="0"/>
    </w:pPr>
    <w:rPr>
      <w:rFonts w:eastAsia="黑体"/>
      <w:sz w:val="32"/>
    </w:rPr>
  </w:style>
  <w:style w:type="character" w:customStyle="1" w:styleId="23">
    <w:name w:val="一级标题tju 字符"/>
    <w:basedOn w:val="21"/>
    <w:link w:val="22"/>
    <w:uiPriority w:val="0"/>
    <w:rPr>
      <w:rFonts w:hAnsi="Times New Roman" w:eastAsia="黑体" w:cs="Times New Roman"/>
      <w:sz w:val="32"/>
      <w:szCs w:val="22"/>
    </w:rPr>
  </w:style>
  <w:style w:type="paragraph" w:customStyle="1" w:styleId="24">
    <w:name w:val="二级标题tju"/>
    <w:basedOn w:val="1"/>
    <w:link w:val="25"/>
    <w:qFormat/>
    <w:uiPriority w:val="0"/>
    <w:pPr>
      <w:spacing w:before="240" w:line="240" w:lineRule="auto"/>
      <w:outlineLvl w:val="1"/>
    </w:pPr>
    <w:rPr>
      <w:rFonts w:hAnsi="Times New Roman" w:eastAsia="黑体" w:cs="Times New Roman"/>
      <w:sz w:val="28"/>
      <w:lang w:eastAsia="zh-CN"/>
    </w:rPr>
  </w:style>
  <w:style w:type="character" w:customStyle="1" w:styleId="25">
    <w:name w:val="二级标题tju 字符"/>
    <w:basedOn w:val="10"/>
    <w:link w:val="24"/>
    <w:uiPriority w:val="0"/>
    <w:rPr>
      <w:rFonts w:hAnsi="Times New Roman" w:eastAsia="黑体" w:cs="Times New Roman"/>
      <w:sz w:val="28"/>
      <w:szCs w:val="22"/>
    </w:rPr>
  </w:style>
  <w:style w:type="character" w:customStyle="1" w:styleId="26">
    <w:name w:val="标题 1 字符"/>
    <w:basedOn w:val="10"/>
    <w:link w:val="2"/>
    <w:uiPriority w:val="0"/>
    <w:rPr>
      <w:rFonts w:eastAsiaTheme="minorHAnsi"/>
      <w:b/>
      <w:bCs/>
      <w:kern w:val="44"/>
      <w:sz w:val="44"/>
      <w:szCs w:val="44"/>
      <w:lang w:eastAsia="en-US"/>
    </w:rPr>
  </w:style>
  <w:style w:type="paragraph" w:customStyle="1" w:styleId="27">
    <w:name w:val="三级标题tju"/>
    <w:basedOn w:val="1"/>
    <w:link w:val="28"/>
    <w:qFormat/>
    <w:uiPriority w:val="0"/>
    <w:pPr>
      <w:spacing w:before="240" w:line="240" w:lineRule="auto"/>
      <w:outlineLvl w:val="2"/>
    </w:pPr>
    <w:rPr>
      <w:rFonts w:hAnsi="Times New Roman" w:eastAsia="黑体" w:cs="Times New Roman"/>
      <w:sz w:val="28"/>
      <w:lang w:eastAsia="zh-CN"/>
    </w:rPr>
  </w:style>
  <w:style w:type="character" w:customStyle="1" w:styleId="28">
    <w:name w:val="三级标题tju 字符"/>
    <w:basedOn w:val="10"/>
    <w:link w:val="27"/>
    <w:uiPriority w:val="0"/>
    <w:rPr>
      <w:rFonts w:hAnsi="Times New Roman" w:eastAsia="黑体" w:cs="Times New Roman"/>
      <w:sz w:val="28"/>
      <w:szCs w:val="22"/>
    </w:rPr>
  </w:style>
  <w:style w:type="paragraph" w:customStyle="1" w:styleId="29">
    <w:name w:val="参考文献tju"/>
    <w:basedOn w:val="1"/>
    <w:link w:val="30"/>
    <w:qFormat/>
    <w:uiPriority w:val="0"/>
    <w:pPr>
      <w:spacing w:after="220" w:line="300" w:lineRule="auto"/>
    </w:pPr>
    <w:rPr>
      <w:rFonts w:eastAsiaTheme="minorEastAsia"/>
      <w:sz w:val="24"/>
    </w:rPr>
  </w:style>
  <w:style w:type="character" w:customStyle="1" w:styleId="30">
    <w:name w:val="参考文献tju 字符"/>
    <w:basedOn w:val="10"/>
    <w:link w:val="29"/>
    <w:uiPriority w:val="0"/>
    <w:rPr>
      <w:sz w:val="24"/>
      <w:szCs w:val="22"/>
      <w:lang w:eastAsia="en-US"/>
    </w:rPr>
  </w:style>
  <w:style w:type="character" w:customStyle="1" w:styleId="31">
    <w:name w:val="页眉 字符"/>
    <w:basedOn w:val="10"/>
    <w:link w:val="6"/>
    <w:uiPriority w:val="0"/>
    <w:rPr>
      <w:rFonts w:eastAsiaTheme="minorHAnsi"/>
      <w:sz w:val="18"/>
      <w:szCs w:val="18"/>
      <w:lang w:eastAsia="en-US"/>
    </w:rPr>
  </w:style>
  <w:style w:type="character" w:customStyle="1" w:styleId="32">
    <w:name w:val="页脚 字符"/>
    <w:basedOn w:val="10"/>
    <w:link w:val="5"/>
    <w:uiPriority w:val="0"/>
    <w:rPr>
      <w:rFonts w:eastAsiaTheme="minorHAnsi"/>
      <w:sz w:val="18"/>
      <w:szCs w:val="18"/>
      <w:lang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93A38C1A-1579-49A0-B31C-4B25EF2E9448}">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5838</Words>
  <Characters>13664</Characters>
  <Lines>325</Lines>
  <Paragraphs>174</Paragraphs>
  <TotalTime>61</TotalTime>
  <ScaleCrop>false</ScaleCrop>
  <LinksUpToDate>false</LinksUpToDate>
  <CharactersWithSpaces>19328</CharactersWithSpaces>
  <Application>WPS Office_12.1.2.23574_F1E327BC-269C-435d-A152-05C5408002CA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2026-02-06T22:41:00Z</dcterms:created>
  <dc:creator>html-to-docx</dc:creator>
  <cp:keywords>html-to-docx</cp:keywords>
  <cp:lastModifiedBy>aaa</cp:lastModifiedBy>
  <dcterms:modified xsi:type="dcterms:W3CDTF">2026-09-24T10:33:46Z</dcterms:modified>
  <cp:revision>96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2052-12.1.2.23574</vt:lpwstr>
  </property>
  <property fmtid="{D5CDD505-2E9C-101B-9397-08002B2CF9AE}" pid="3" name="ICV">
    <vt:lpwstr>91204B44DFFBA3040DBF82697D2B27A6_42</vt:lpwstr>
  </property>
</Properties>
</file>