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p>
    <w:p>
      <w:pPr>
        <w:pStyle w:val="shimo normal"/>
        <w:numPr>
          <w:ilvl w:val="0"/>
          <w:numId w:val="1"/>
        </w:numPr>
        <w:jc w:val="left"/>
      </w:pPr>
      <w:r>
        <w:t>确认投保本保险产品前，请您务必仔细阅读并充分理解《保险条款》的内容及含义，特别是其中有关投保方式、赔付条件、理赔规则、退改条件， 以及保险合同的除外责任等的约定。如有任何疑问可致电中国人民财产保险股份有限公司客服热线0771-95518咨询了解相关内容。</w:t>
      </w:r>
    </w:p>
    <w:p>
      <w:pPr>
        <w:pStyle w:val="shimo normal"/>
        <w:jc w:val="left"/>
      </w:pPr>
      <w:r>
        <w:t xml:space="preserve"> </w:t>
      </w:r>
    </w:p>
    <w:p>
      <w:pPr>
        <w:pStyle w:val="shimo normal"/>
        <w:numPr>
          <w:ilvl w:val="0"/>
          <w:numId w:val="2"/>
        </w:numPr>
        <w:jc w:val="left"/>
      </w:pPr>
      <w:r>
        <w:t>本产品中所用主险《少儿走失找寻费用补偿保险条款》仅作为产品框架使用，不承担任何保险责任；</w:t>
      </w:r>
    </w:p>
    <w:p>
      <w:pPr>
        <w:pStyle w:val="shimo normal"/>
        <w:jc w:val="left"/>
      </w:pPr>
      <w:r>
        <w:t xml:space="preserve"> </w:t>
      </w:r>
    </w:p>
    <w:p>
      <w:pPr>
        <w:pStyle w:val="shimo normal"/>
        <w:numPr>
          <w:ilvl w:val="0"/>
          <w:numId w:val="3"/>
        </w:numPr>
        <w:jc w:val="left"/>
      </w:pPr>
      <w:r>
        <w:t>本产品投保人为被保险人的法定监护人，被保险人应为年龄在12 周岁（含）以下的投保人法定子女；</w:t>
      </w:r>
    </w:p>
    <w:p>
      <w:pPr>
        <w:pStyle w:val="shimo normal"/>
        <w:jc w:val="left"/>
      </w:pPr>
      <w:r>
        <w:t xml:space="preserve"> </w:t>
      </w:r>
    </w:p>
    <w:p>
      <w:pPr>
        <w:pStyle w:val="shimo normal"/>
        <w:numPr>
          <w:ilvl w:val="0"/>
          <w:numId w:val="4"/>
        </w:numPr>
        <w:jc w:val="left"/>
      </w:pPr>
      <w:r>
        <w:t>本产品保险期间内投保人在发现被保险人因不明原因失踪（被保险人自行离家出走除外），被保险人的法定监护人第一时间在公安机关报案后，通过“归巢”少儿走失找寻全城寻人平台（以下简称“归巢平台”）上传报案回执审核通过后，归巢平台将在30分钟后经由其指定的合作媒体流量入口，当日发布50万条被保险人寻人启事广告推送，上述信息发布费用及对应悬赏金由归巢平台先行垫付，而赔款将以被保险人的法定监护人电子授权赔款权益的形式支付给归巢平台；</w:t>
      </w:r>
    </w:p>
    <w:p>
      <w:pPr>
        <w:pStyle w:val="shimo normal"/>
        <w:jc w:val="left"/>
      </w:pPr>
      <w:r>
        <w:t xml:space="preserve"> </w:t>
      </w:r>
    </w:p>
    <w:p>
      <w:pPr>
        <w:pStyle w:val="shimo normal"/>
        <w:numPr>
          <w:ilvl w:val="0"/>
          <w:numId w:val="5"/>
        </w:numPr>
        <w:jc w:val="left"/>
      </w:pPr>
      <w:r>
        <w:t>本产品提供线索悬赏金（标配版5000元/高配版10000元）定额赔款，归巢平台按照公安机关认定的有效线索提供人数进行均分，再支付给提供线索的实际人员；</w:t>
      </w:r>
    </w:p>
    <w:p>
      <w:pPr>
        <w:pStyle w:val="shimo normal"/>
        <w:jc w:val="left"/>
      </w:pPr>
      <w:r>
        <w:t xml:space="preserve"> </w:t>
      </w:r>
    </w:p>
    <w:p>
      <w:pPr>
        <w:pStyle w:val="shimo normal"/>
        <w:numPr>
          <w:ilvl w:val="0"/>
          <w:numId w:val="6"/>
        </w:numPr>
        <w:jc w:val="left"/>
      </w:pPr>
      <w:r>
        <w:t>本产品根据主险条款责任免除范围，投保人隐瞒失踪原因并通过归巢平台发布相关找寻信息后并找回被保险人的，经由公安机关最终核实认定失踪原因为被保险人自行离家出走行为的，保险人有权要求投保人如数返还已发生的实际赔款。</w:t>
      </w:r>
    </w:p>
    <w:p>
      <w:pPr>
        <w:pStyle w:val="shimo normal"/>
        <w:jc w:val="left"/>
      </w:pPr>
      <w:r>
        <w:t xml:space="preserve"> </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2019-08-08T07:16:36Z</dcterms:created>
  <dc:creator> </dc:creator>
</cp:coreProperties>
</file>