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</w:pPr>
      <w:r>
        <w:t>Bankeys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取证中心</w:t>
      </w:r>
    </w:p>
    <w:p>
      <w:pPr>
        <w:pStyle w:val="7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生成日期：</w:t>
      </w:r>
      <w:r>
        <w:rPr>
          <w:rFonts w:ascii="Helvetica" w:hAnsi="Helvetica" w:cs="Arial Unicode MS"/>
        </w:rPr>
        <w:t>2016-04-30</w:t>
      </w:r>
    </w:p>
    <w:p>
      <w:pPr>
        <w:pStyle w:val="7"/>
        <w:rPr>
          <w:color w:val="BFBFB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签名报文：</w:t>
      </w:r>
      <w:r>
        <w:rPr>
          <w:rFonts w:ascii="Helvetica" w:hAnsi="Helvetica" w:cs="Arial Unicode MS"/>
          <w:color w:val="BFBFBF"/>
          <w:lang/>
        </w:rPr>
        <w:t>ClientServerClientHello</w:t>
      </w:r>
      <w:r>
        <w:rPr>
          <w:rFonts w:hint="default" w:ascii="Helvetica" w:hAnsi="Helvetica" w:cs="Arial Unicode MS"/>
          <w:color w:val="BFBFBF"/>
        </w:rPr>
        <w:t> </w:t>
      </w:r>
      <w:r>
        <w:rPr>
          <w:rFonts w:ascii="Helvetica" w:hAnsi="Helvetica" w:cs="Arial Unicode MS"/>
          <w:color w:val="BFBFBF"/>
          <w:lang/>
        </w:rPr>
        <w:t>ServerHelloCertificate*</w:t>
      </w:r>
      <w:r>
        <w:rPr>
          <w:rFonts w:hint="default" w:ascii="Helvetica" w:hAnsi="Helvetica" w:cs="Arial Unicode MS"/>
          <w:color w:val="BFBFBF"/>
        </w:rPr>
        <w:t> </w:t>
      </w:r>
      <w:r>
        <w:rPr>
          <w:rFonts w:ascii="Helvetica" w:hAnsi="Helvetica" w:cs="Arial Unicode MS"/>
          <w:color w:val="BFBFBF"/>
          <w:lang w:val="en-US"/>
        </w:rPr>
        <w:t>ServerKeyExchange*</w:t>
      </w:r>
      <w:r>
        <w:rPr>
          <w:rFonts w:hint="default" w:ascii="Helvetica" w:hAnsi="Helvetica" w:cs="Arial Unicode MS"/>
          <w:color w:val="BFBFBF"/>
        </w:rPr>
        <w:t> </w:t>
      </w:r>
      <w:r>
        <w:rPr>
          <w:rFonts w:ascii="Helvetica" w:hAnsi="Helvetica" w:cs="Arial Unicode MS"/>
          <w:color w:val="BFBFBF"/>
          <w:lang/>
        </w:rPr>
        <w:t>CertificateRequest*ServerHelloDone</w:t>
      </w:r>
      <w:r>
        <w:rPr>
          <w:rFonts w:hint="default" w:ascii="Helvetica" w:hAnsi="Helvetica" w:cs="Arial Unicode MS"/>
          <w:color w:val="BFBFBF"/>
        </w:rPr>
        <w:t> </w:t>
      </w:r>
      <w:r>
        <w:rPr>
          <w:rFonts w:ascii="Helvetica" w:hAnsi="Helvetica" w:cs="Arial Unicode MS"/>
          <w:color w:val="BFBFBF"/>
          <w:lang w:val="en-US"/>
        </w:rPr>
        <w:t>Certificate*ClientKeyExchangeCertificateVerify*ChangeCipherSpec]Finish[ChangeCipherSpec]FinishedApplication</w:t>
      </w:r>
      <w:r>
        <w:rPr>
          <w:rFonts w:hint="default" w:ascii="Helvetica" w:hAnsi="Helvetica" w:cs="Arial Unicode MS"/>
          <w:color w:val="BFBFBF"/>
        </w:rPr>
        <w:t> </w:t>
      </w:r>
      <w:r>
        <w:rPr>
          <w:rFonts w:ascii="Helvetica" w:hAnsi="Helvetica" w:cs="Arial Unicode MS"/>
          <w:color w:val="BFBFBF"/>
          <w:lang w:val="en-US"/>
        </w:rPr>
        <w:t>DataApplication</w:t>
      </w:r>
      <w:r>
        <w:rPr>
          <w:rFonts w:hint="default" w:ascii="Helvetica" w:hAnsi="Helvetica" w:cs="Arial Unicode MS"/>
          <w:color w:val="BFBFBF"/>
        </w:rPr>
        <w:t> </w:t>
      </w:r>
      <w:r>
        <w:rPr>
          <w:rFonts w:ascii="Helvetica" w:hAnsi="Helvetica" w:cs="Arial Unicode MS"/>
          <w:color w:val="BFBFBF"/>
          <w:lang/>
        </w:rPr>
        <w:t>DataClientServerClientHello</w:t>
      </w:r>
      <w:r>
        <w:rPr>
          <w:rFonts w:hint="default" w:ascii="Helvetica" w:hAnsi="Helvetica" w:cs="Arial Unicode MS"/>
          <w:color w:val="BFBFBF"/>
        </w:rPr>
        <w:t> </w:t>
      </w:r>
      <w:r>
        <w:rPr>
          <w:rFonts w:ascii="Helvetica" w:hAnsi="Helvetica" w:cs="Arial Unicode MS"/>
          <w:color w:val="BFBFBF"/>
          <w:lang/>
        </w:rPr>
        <w:t>ServerHelloCertificate*</w:t>
      </w:r>
      <w:r>
        <w:rPr>
          <w:rFonts w:hint="default" w:ascii="Helvetica" w:hAnsi="Helvetica" w:cs="Arial Unicode MS"/>
          <w:color w:val="BFBFBF"/>
        </w:rPr>
        <w:t> </w:t>
      </w:r>
      <w:r>
        <w:rPr>
          <w:rFonts w:ascii="Helvetica" w:hAnsi="Helvetica" w:cs="Arial Unicode MS"/>
          <w:color w:val="BFBFBF"/>
          <w:lang w:val="en-US"/>
        </w:rPr>
        <w:t>ServerKeyExchange*</w:t>
      </w:r>
      <w:r>
        <w:rPr>
          <w:rFonts w:hint="default" w:ascii="Helvetica" w:hAnsi="Helvetica" w:cs="Arial Unicode MS"/>
          <w:color w:val="BFBFBF"/>
        </w:rPr>
        <w:t> </w:t>
      </w:r>
      <w:r>
        <w:rPr>
          <w:rFonts w:ascii="Helvetica" w:hAnsi="Helvetica" w:cs="Arial Unicode MS"/>
          <w:color w:val="BFBFBF"/>
          <w:lang/>
        </w:rPr>
        <w:t>CertificateRequest*ServerHelloDone</w:t>
      </w:r>
      <w:r>
        <w:rPr>
          <w:rFonts w:hint="default" w:ascii="Helvetica" w:hAnsi="Helvetica" w:cs="Arial Unicode MS"/>
          <w:color w:val="BFBFBF"/>
        </w:rPr>
        <w:t> </w:t>
      </w:r>
      <w:r>
        <w:rPr>
          <w:rFonts w:ascii="Helvetica" w:hAnsi="Helvetica" w:cs="Arial Unicode MS"/>
          <w:color w:val="BFBFBF"/>
          <w:lang w:val="en-US"/>
        </w:rPr>
        <w:t>Certificate*ClientKeyExchangeCertificateVerify*ChangeCipherSpec]Finish[ChangeCipherSpec]FinishedApplication</w:t>
      </w:r>
      <w:r>
        <w:rPr>
          <w:rFonts w:hint="default" w:ascii="Helvetica" w:hAnsi="Helvetica" w:cs="Arial Unicode MS"/>
          <w:color w:val="BFBFBF"/>
        </w:rPr>
        <w:t> </w:t>
      </w:r>
      <w:r>
        <w:rPr>
          <w:rFonts w:ascii="Helvetica" w:hAnsi="Helvetica" w:cs="Arial Unicode MS"/>
          <w:color w:val="BFBFBF"/>
          <w:lang w:val="en-US"/>
        </w:rPr>
        <w:t>DataApplication</w:t>
      </w:r>
      <w:r>
        <w:rPr>
          <w:rFonts w:hint="default" w:ascii="Helvetica" w:hAnsi="Helvetica" w:cs="Arial Unicode MS"/>
          <w:color w:val="BFBFBF"/>
        </w:rPr>
        <w:t> </w:t>
      </w:r>
      <w:r>
        <w:rPr>
          <w:rFonts w:ascii="Helvetica" w:hAnsi="Helvetica" w:cs="Arial Unicode MS"/>
          <w:color w:val="BFBFBF"/>
          <w:lang/>
        </w:rPr>
        <w:t>Data</w:t>
      </w:r>
    </w:p>
    <w:p>
      <w:pPr>
        <w:pStyle w:val="7"/>
        <w:rPr>
          <w:color w:val="BFBFBF"/>
        </w:rPr>
      </w:pPr>
      <w:r>
        <w:rPr>
          <w:rFonts w:ascii="Helvetica" w:hAnsi="Helvetica"/>
          <w:color w:val="BFBFBF"/>
          <w:lang/>
        </w:rPr>
        <w:t>ClientServerClientHello</w:t>
      </w:r>
      <w:r>
        <w:rPr>
          <w:rFonts w:hint="default" w:ascii="Helvetica" w:hAnsi="Helvetica"/>
          <w:color w:val="BFBFBF"/>
        </w:rPr>
        <w:t> </w:t>
      </w:r>
      <w:r>
        <w:rPr>
          <w:rFonts w:ascii="Helvetica" w:hAnsi="Helvetica"/>
          <w:color w:val="BFBFBF"/>
          <w:lang/>
        </w:rPr>
        <w:t>ServerHelloCertificate*</w:t>
      </w:r>
      <w:r>
        <w:rPr>
          <w:rFonts w:hint="default" w:ascii="Helvetica" w:hAnsi="Helvetica"/>
          <w:color w:val="BFBFBF"/>
        </w:rPr>
        <w:t> </w:t>
      </w:r>
      <w:r>
        <w:rPr>
          <w:rFonts w:ascii="Helvetica" w:hAnsi="Helvetica"/>
          <w:color w:val="BFBFBF"/>
          <w:lang w:val="en-US"/>
        </w:rPr>
        <w:t>ServerKeyExchange*</w:t>
      </w:r>
      <w:r>
        <w:rPr>
          <w:rFonts w:hint="default" w:ascii="Helvetica" w:hAnsi="Helvetica"/>
          <w:color w:val="BFBFBF"/>
        </w:rPr>
        <w:t> </w:t>
      </w:r>
      <w:r>
        <w:rPr>
          <w:rFonts w:ascii="Helvetica" w:hAnsi="Helvetica"/>
          <w:color w:val="BFBFBF"/>
          <w:lang/>
        </w:rPr>
        <w:t>CertificateRequest*ServerHelloDone</w:t>
      </w:r>
      <w:r>
        <w:rPr>
          <w:rFonts w:hint="default" w:ascii="Helvetica" w:hAnsi="Helvetica"/>
          <w:color w:val="BFBFBF"/>
        </w:rPr>
        <w:t> </w:t>
      </w:r>
      <w:r>
        <w:rPr>
          <w:rFonts w:ascii="Helvetica" w:hAnsi="Helvetica"/>
          <w:color w:val="BFBFBF"/>
          <w:lang w:val="en-US"/>
        </w:rPr>
        <w:t>Certificate*ClientKeyExchangeCertificateVerify*ChangeCipherSpec]Finish[ChangeCipherSpec]FinishedA</w:t>
      </w:r>
    </w:p>
    <w:p>
      <w:pPr>
        <w:pStyle w:val="7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操作员：张三</w:t>
      </w:r>
      <w:bookmarkStart w:id="0" w:name="_GoBack"/>
      <w:bookmarkEnd w:id="0"/>
    </w:p>
    <w:p>
      <w:pPr>
        <w:pStyle w:val="8"/>
        <w:rPr>
          <w:rFonts w:ascii="Helvetica" w:hAnsi="Helvetica" w:eastAsia="Helvetica" w:cs="Helvetica"/>
          <w:b/>
          <w:bCs/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通用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功能：合约签名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创建日期：</w:t>
      </w:r>
      <w:r>
        <w:rPr>
          <w:color w:val="3F3F3F"/>
        </w:rPr>
        <w:t>2015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</w:rPr>
        <w:t>年</w:t>
      </w:r>
      <w:r>
        <w:rPr>
          <w:color w:val="3F3F3F"/>
        </w:rPr>
        <w:t>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</w:rPr>
        <w:t>月</w:t>
      </w:r>
      <w:r>
        <w:rPr>
          <w:color w:val="3F3F3F"/>
        </w:rPr>
        <w:t>25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</w:rPr>
        <w:t>日</w:t>
      </w:r>
      <w:r>
        <w:rPr>
          <w:color w:val="3F3F3F"/>
        </w:rPr>
        <w:t xml:space="preserve"> 03:28:24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修改日期：</w:t>
      </w:r>
      <w:r>
        <w:rPr>
          <w:color w:val="3F3F3F"/>
        </w:rPr>
        <w:t>2015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</w:rPr>
        <w:t>年</w:t>
      </w:r>
      <w:r>
        <w:rPr>
          <w:color w:val="3F3F3F"/>
        </w:rPr>
        <w:t>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</w:rPr>
        <w:t>月</w:t>
      </w:r>
      <w:r>
        <w:rPr>
          <w:color w:val="3F3F3F"/>
        </w:rPr>
        <w:t>25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</w:rPr>
        <w:t>日</w:t>
      </w:r>
      <w:r>
        <w:rPr>
          <w:color w:val="3F3F3F"/>
        </w:rPr>
        <w:t xml:space="preserve"> 03:28:31</w:t>
      </w:r>
    </w:p>
    <w:p>
      <w:pPr>
        <w:pStyle w:val="6"/>
        <w:rPr>
          <w:color w:val="3F3F3F"/>
        </w:rPr>
      </w:pP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名称：设计外包合同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TW" w:eastAsia="zh-TW"/>
        </w:rPr>
        <w:t>描述：</w:t>
      </w:r>
      <w:r>
        <w:rPr>
          <w:color w:val="3F3F3F"/>
        </w:rPr>
        <w:t>FMS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</w:rPr>
        <w:t>（</w:t>
      </w:r>
      <w:r>
        <w:rPr>
          <w:color w:val="3F3F3F"/>
          <w:lang/>
        </w:rPr>
        <w:t>iOS 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）手机应用程式设计外包合同</w:t>
      </w:r>
    </w:p>
    <w:p>
      <w:pPr>
        <w:pStyle w:val="6"/>
        <w:rPr>
          <w:color w:val="3F3F3F"/>
        </w:rPr>
      </w:pPr>
    </w:p>
    <w:p>
      <w:pPr>
        <w:pStyle w:val="8"/>
        <w:rPr>
          <w:rFonts w:ascii="Helvetica" w:hAnsi="Helvetica" w:eastAsia="Helvetica" w:cs="Helvetica"/>
          <w:b/>
          <w:bCs/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电子签名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签名状态：尚未签名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签名人：</w:t>
      </w:r>
      <w:r>
        <w:rPr>
          <w:color w:val="3F3F3F"/>
        </w:rPr>
        <w:t>-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最后签名时间：</w:t>
      </w:r>
      <w:r>
        <w:rPr>
          <w:color w:val="3F3F3F"/>
        </w:rPr>
        <w:t>-</w:t>
      </w:r>
    </w:p>
    <w:p>
      <w:pPr>
        <w:pStyle w:val="6"/>
        <w:rPr>
          <w:color w:val="3F3F3F"/>
        </w:rPr>
      </w:pPr>
    </w:p>
    <w:p>
      <w:pPr>
        <w:pStyle w:val="8"/>
        <w:rPr>
          <w:rFonts w:ascii="Helvetica" w:hAnsi="Helvetica" w:eastAsia="Helvetica" w:cs="Helvetica"/>
          <w:b/>
          <w:bCs/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具体签名信息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库倪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时间：﹣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ja-JP" w:eastAsia="ja-JP"/>
        </w:rPr>
        <w:t>位置：﹣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签名：未签名</w:t>
      </w:r>
    </w:p>
    <w:p>
      <w:pPr>
        <w:pStyle w:val="6"/>
        <w:rPr>
          <w:color w:val="3F3F3F"/>
        </w:rPr>
      </w:pPr>
    </w:p>
    <w:p>
      <w:pPr>
        <w:pStyle w:val="6"/>
        <w:rPr>
          <w:color w:val="3F3F3F"/>
        </w:rPr>
      </w:pPr>
      <w:r>
        <w:rPr>
          <w:color w:val="3F3F3F"/>
          <w:lang/>
        </w:rPr>
        <w:t>Roger Frank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时间：﹣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ja-JP" w:eastAsia="ja-JP"/>
        </w:rPr>
        <w:t>位置：﹣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签名：未签名</w:t>
      </w:r>
    </w:p>
    <w:p>
      <w:pPr>
        <w:pStyle w:val="6"/>
        <w:rPr>
          <w:color w:val="3F3F3F"/>
        </w:rPr>
      </w:pPr>
    </w:p>
    <w:p>
      <w:pPr>
        <w:pStyle w:val="8"/>
        <w:rPr>
          <w:rFonts w:ascii="Helvetica" w:hAnsi="Helvetica" w:eastAsia="Helvetica" w:cs="Helvetica"/>
          <w:b/>
          <w:bCs/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对象信息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实际签名对象：设计外包合同</w:t>
      </w:r>
      <w:r>
        <w:rPr>
          <w:color w:val="3F3F3F"/>
          <w:lang/>
        </w:rPr>
        <w:t>.PDF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CN" w:eastAsia="zh-CN"/>
        </w:rPr>
        <w:t>种类：</w:t>
      </w:r>
      <w:r>
        <w:rPr>
          <w:color w:val="3F3F3F"/>
          <w:lang/>
        </w:rPr>
        <w:t>PDF</w:t>
      </w:r>
    </w:p>
    <w:p>
      <w:pPr>
        <w:pStyle w:val="6"/>
        <w:rPr>
          <w:color w:val="3F3F3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F3F3F"/>
          <w:lang w:val="zh-TW" w:eastAsia="zh-TW"/>
        </w:rPr>
        <w:t>大小：</w:t>
      </w:r>
      <w:r>
        <w:rPr>
          <w:color w:val="3F3F3F"/>
        </w:rPr>
        <w:t>1.4 MB</w:t>
      </w:r>
    </w:p>
    <w:p>
      <w:pPr>
        <w:pStyle w:val="6"/>
      </w:pPr>
    </w:p>
    <w:p>
      <w:pPr>
        <w:pStyle w:val="6"/>
      </w:pPr>
    </w:p>
    <w:p>
      <w:pPr>
        <w:pStyle w:val="9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>
      <w:pPr>
        <w:pStyle w:val="9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签名对象</w:t>
      </w:r>
    </w:p>
    <w:p>
      <w:pPr>
        <w:pStyle w:val="6"/>
      </w:pP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ja-JP" w:eastAsia="ja-JP"/>
        </w:rPr>
        <w:t>　　甲方：</w:t>
      </w:r>
      <w:r>
        <w:t>_____________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乙方：</w:t>
      </w:r>
      <w:r>
        <w:t>_____________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甲、乙双方本着自愿、平等、公平、诚实、信用的原则，经友好协商，根据中华人民共和国有关法律、法规的规定签定本协议，由双方共同遵守。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第一条协议范围内，双方的关系确定为合作关系。为拓展市场更好地、更规范地服务消费者，根据公司的规划，甲方根据乙方的申请和对乙方的经营能力的审核，同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意乙方加入</w:t>
      </w:r>
      <w:r>
        <w:t>___________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公司的销售网络。同意乙方在</w:t>
      </w:r>
      <w:r>
        <w:t>_______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省（市、自治区）</w:t>
      </w:r>
      <w:r>
        <w:t>_________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市（地区）</w:t>
      </w:r>
      <w:r>
        <w:t>_______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县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ja-JP" w:eastAsia="ja-JP"/>
        </w:rPr>
        <w:t>（区）</w:t>
      </w:r>
      <w:r>
        <w:t>_______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地点（商场建筑物）（代理、经销、专卖、批发、零售）专属性经营（</w:t>
      </w:r>
      <w:r>
        <w:t>_______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）品牌</w:t>
      </w:r>
      <w:r>
        <w:t>________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系列产品。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第二条订立本协议的目的在于确保甲、乙双方忠实地履行本协议规定的双方的职责和权利。乙方作为单独的企业法人或经营者进行经济活动。因此，他必须遵守对所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有企业法人或经营者共同的法律要求，特别是有关资格的规则以及社会的、财务的商业要求。作为一个企业法人或经营者，乙方应就其活动自负一切风险和从合法经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营中获利。乙方不是甲方的代理人，也不是甲方的雇员和合伙人。乙方不是作为甲方委托代表，乙方无权以甲方的名义签定协议，使甲方在任何方面对第三人承担责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任，或由甲方负担费用，承担任何义务。订立本协议并未授予乙方任何约束甲方或甲方有关企业之权利，甲方对本协议任何条款有最终的解释权。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第三条有效期从</w:t>
      </w:r>
      <w:r>
        <w:t>_______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年</w:t>
      </w:r>
      <w:r>
        <w:t>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月</w:t>
      </w:r>
      <w:r>
        <w:t>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日至</w:t>
      </w:r>
      <w:r>
        <w:t>_______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年</w:t>
      </w:r>
      <w:r>
        <w:t>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月</w:t>
      </w:r>
      <w:r>
        <w:t>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日，由签约日计。除非本协议提前终止，乙方可在协议有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效期满前三个月向甲方提出延长协议合作的书面请求，经甲方同意，可以续签《</w:t>
      </w:r>
      <w:r>
        <w:t>__________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合作协议书》。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第四条甲方为使乙方所辖区域更好运营，开发和提供适销产品，保证产品质量符合标准，合理定价，最大限度保证乙方的供应。在本协议期间，甲方承诺，积极协助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承担市场物流、组织功能乙方按甲方规划进行市场设计和拓展市场网络。甲方承诺在乙方要求下，可为乙方代办货物托运及相应事项，用乙方要求的方式运输到乙方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所指定的地点，其运输、保险等费用均由受益人乙方支付。甲方为乙方提供适当的培训和辅导。作为市场开发和业务拓展必备条件，以保证整个系统持续统一。甲方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负责组织品牌宣传，并协同承担市场物流、组织功能的乙方开展区域性的促销活动，最大限度地支持乙方的经营。甲方在作出的广告及推广活动之前，须先将有关活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动资料通知乙方，以使乙方能于活动前作出适当准备及加以响应。甲方的品牌和产品及相关的灯箱广告、</w:t>
      </w:r>
      <w:r>
        <w:t>POP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广告、店铺内外之装潢设计及陈设，由甲方定出</w:t>
      </w:r>
      <w:r>
        <w:t xml:space="preserve"> </w:t>
      </w:r>
      <w:r>
        <w:rPr>
          <w:lang/>
        </w:rPr>
        <w:t>VIS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形象设计，并为乙方提供相应辅导。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第五条乙方保护甲方的商标等知识产权，规范地使用甲方商标标识。乙方有义务协助甲方打假、市场监管。举报、举证假冒伪劣产品、窜货以及其它不正当竞争行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为。协同甲方与当地相关的执法部门进行协调、沟通。乙方只能在甲方授权的区域内开展业务，不得在其它区域销售商品，如未有其它分销商经营的区域，乙方如愿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发展业务，必须向甲方申请。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乙方只能在甲方所指定的进货渠道进货，不得到其它地方进货。通过市场的细分、有序的管理、合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理地分配，有效支持网点商品供应，不得经营其它品牌产品和销售假冒产品。协议有效期内，乙方所属区域内网点的零售价格，在甲方建议价格范围内保持统一，不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得随意大幅度调价。乙方有义务为甲方收集所需要的市场信息，或根据甲方的要求进行市场调查，并在规定期限内汇总上报甲方。妥善保存乙方的经营业务记录，以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备甲方的核查。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第六条乙方有使用甲方授权范围内的商标、商标标识、</w:t>
      </w:r>
      <w:r>
        <w:rPr>
          <w:lang/>
        </w:rPr>
        <w:t>VIS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形象设计及甲方提供的适当范围的经营技术和商业秘密的权利。乙方具有从甲方指定进货渠道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进货并在协议规定的范围内进行销售的权利。具有因甲方提供的产品本身质量问题可无条件退换的权利，但属乙方经营问题则由乙方自理。获得甲方所提供的培训和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指导的权利。独立处理协议约定以外事项的权利。在协议约定的范围内行使甲方所赋予的权利。承担市场物流、组织功能的乙方有权推荐、考核所辖范围内分销商或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零售商。但推荐的分销商、零售商必须向甲方申请，签定协议、由甲方颁发证书后方可运营。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第七条在乙方违背本协议即违法经营、制假、售假、恶意窜货、侵犯甲方知识产权等严重侵害甲方合法权益等行为时，本协议视作立即终止。甲方有权采取对乙方的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下列措施：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</w:t>
      </w:r>
      <w:r>
        <w:t>1.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责令乙方自行承担费用拆除所有的灯箱及一切有关的装饰用具、店面装修、宣传品等。乙方自行承担软件和硬件设备投资的一切损失</w:t>
      </w:r>
      <w:r>
        <w:t>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向有关执法机关提出执法请求，封存乙方所有的带有甲方商标标识的商品。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</w:t>
      </w:r>
      <w:r>
        <w:t>3.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依法提请司法和执法机关追索乙方的赔偿责任和法律责任。与此同时乙方必须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（</w:t>
      </w:r>
      <w: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）结清与甲方（甲方指定的供货商）的财务往来关系。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（</w:t>
      </w:r>
      <w: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）不得再进行销售甲方的商品。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（</w:t>
      </w:r>
      <w: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）必须承担客户后续服务成本，包括退货、维修、索赔等。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第八条甲方的商标，属甲方所有的知识产权，受国家法律保护。所有相关产品的标识，均属甲方所有。未经甲方事先书面专项授权，乙方不得使用甲方的名称、商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标、公司司标等涉及公司知识产权内容、标识进行工商注册、招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商、广告等；不得使用甲方提供的标识用于本协议以外的任何交易。乙方承诺不得擅自印刷有关商标、标识及促销广告发布；不得超越本协议所规定的权利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范围，擅自制作总经销、总代理、代表处的证书、文件、名片、搁牌、铜牌等进行营业和运作；不得擅自改变统一的形象进行招牌、灯箱和有关标识物的制作和装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潢。若乙方违反规定，甲方有权单方面终止协议，乙方除应按规定承担违约责任外，还应赔偿甲方遭受的一切损失。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第九条如双方因不可抗力，或非双方所能控制或所能预见事件的发生，包括自然灾害、战争、政府行为、社会骚乱等情况而不能履行其业务，本协议的履行可以终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止。如果发生不可抗力事件，援引不可抗力的当事人必须在</w:t>
      </w:r>
      <w:r>
        <w:t>15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天内或通讯障碍消除之日起</w:t>
      </w:r>
      <w:r>
        <w:t>_______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天内以书面的方式，必要时以传真或电传的方式，立即通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知另一方当事人该事件的发生。如果他在上述期限内未能这样做，他将不能继续从本条协议中获益。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本协议受中华人民共和国法律的管辖。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第十条如果产生有关本协议的存在、效力、履行、解释、终止的争议，双方应通过友好协商解决，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如果争议发生之日起三个月内通过协商不能解决的，或者任何一方拒绝协商的，则任何一方均可诉请本协议签定地人民法院裁决。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第十一条协议签署地为南京市。本协议一式两份，甲乙双方签字之日起生效。双方各备案一份，复印件无效。乙方兹承认签署本协议，并已阅读及明白本协议所列条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款所包含的规定，并同意受其约束。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如果某个条文认为是不适用或无效的，可以在本协议的附加协议中予以更改和修正，该条文不适用或无效不应影响整个协议的效力。同时签署的本协议的附加协议中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的更改和修正，与本协议有同等法律效力。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ja-JP" w:eastAsia="ja-JP"/>
        </w:rPr>
        <w:t>　　甲方：</w:t>
      </w:r>
      <w:r>
        <w:t>________________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公章：</w:t>
      </w:r>
      <w:r>
        <w:t>________________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委托人：</w:t>
      </w:r>
      <w:r>
        <w:t>_______________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签定日期：</w:t>
      </w:r>
      <w:r>
        <w:t>_____________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乙方：</w:t>
      </w:r>
      <w:r>
        <w:t>_______________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公章：</w:t>
      </w:r>
      <w:r>
        <w:t>________________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委托人：</w:t>
      </w:r>
      <w:r>
        <w:t>_______________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签定日期：</w:t>
      </w:r>
      <w:r>
        <w:t>____________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ja-JP" w:eastAsia="ja-JP"/>
        </w:rPr>
        <w:t>　　甲方：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乙方；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甲、乙双方本着精诚合作、平等互利的原则，经友好协商，就相关租赁合作事宜，成如下，双方共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同遵守：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第一条：合作范围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甲方向乙方租用</w:t>
      </w:r>
      <w:r>
        <w:t xml:space="preserve">                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（详见附件）以作甲方所属项目</w:t>
      </w:r>
      <w:r>
        <w:t xml:space="preserve">             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会务现场布置之用。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乙方同时配合甲方上述租用物之现场制作工程。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第二条：合作期限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合作期限自</w:t>
      </w:r>
      <w:r>
        <w:t>2007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年月？日至　　　年</w:t>
      </w:r>
      <w:r>
        <w:t> 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月</w:t>
      </w:r>
      <w:r>
        <w:t>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</w:t>
      </w:r>
      <w:r>
        <w:t xml:space="preserve">   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日，共　　　天第三条：收费标准、结算方式</w:t>
      </w:r>
      <w: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、收费标准：以上物品租用连制作等工程服务内容费用总额为人民币？？元（开票加收</w:t>
      </w:r>
      <w:r>
        <w:t>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％）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</w:t>
      </w:r>
      <w: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、结算方式：甲方签订本合同当日以现金预付总价款的</w:t>
      </w:r>
      <w:r>
        <w:t>30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％为定金，进场验收后付</w:t>
      </w:r>
      <w:r>
        <w:t>30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％，余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款于活动结束当天以现金一次性付清予乙方第四条：甲乙双方的权利和义务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（一）甲方的权利和义务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</w:t>
      </w:r>
      <w: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、负责提供活动场地，提供必要的活动协助。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</w:t>
      </w:r>
      <w: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、双方签署合同之日起，甲方将其所属项目现场制作工程部分委托乙方代理。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</w:t>
      </w:r>
      <w: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、负责维护活动的治安秩序及保障乙方工作人员的人身安全，财物保管。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</w:t>
      </w:r>
      <w: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、甲方应按约定如期向乙方支付器材租用费用，愈期</w:t>
      </w:r>
      <w: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天无故不支付，则按每天</w:t>
      </w:r>
      <w: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％的标准向乙方支付滞纳金。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　　（二）乙方的权利和义务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</w:t>
      </w:r>
      <w: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、乙方管理及工作人员在甲方场所活动期间，应遵守国家的法律法规，自觉遵守甲方的规章制度，配合甲方管理人员的安排。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</w:t>
      </w:r>
      <w: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、乙方必须根据甲方要求按时、按质、按量地完成相关作业。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</w:t>
      </w:r>
      <w: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、甲方有权根据乙方活动内容及质量提出合理建议，乙方需积极与甲方进行协商，并根据协商结果作相应调整。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</w:t>
      </w:r>
      <w: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、应在协议约定时间内提供合同内容中的租用器材及相关作业，如因天气原因及不可抗力因素阻碍活动进行，经甲方同意后可中止活动，已安排提供服务的活动项目费用需照常支付费用</w:t>
      </w:r>
      <w: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、本次活动基本设施的验收日期为</w:t>
      </w:r>
      <w:r>
        <w:t>2007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年月？日第五条：违约责任</w:t>
      </w:r>
      <w: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、乙方未能按合同规定时间如期合同内容中的租用器材及相关作业，则均属违约，应给予甲方经济赔偿，赔偿金额按合同法有关规定执行</w:t>
      </w:r>
      <w: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、若甲方未能够按期付款，则按合同法规定给乙方</w:t>
      </w:r>
      <w: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％滞纳金</w:t>
      </w:r>
      <w: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、本协议委托内容确定以及费用总额、委托变更、中止、解除和提前终止需双方书面确认。如任</w:t>
      </w: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何一方违约，违约方须赔偿对方第六条：其它</w:t>
      </w:r>
      <w: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、本协议一式二份，甲乙双方各执一份。均具有同等法律效力</w:t>
      </w:r>
      <w: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、本协议中未尽事宜，双方协商解决，并另行签定补充协议。</w:t>
      </w:r>
    </w:p>
    <w:p>
      <w:pPr>
        <w:pStyle w:val="6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　　</w:t>
      </w:r>
      <w: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、本协议自签定之日起生效。</w:t>
      </w:r>
    </w:p>
    <w:sectPr>
      <w:headerReference r:id="rId4" w:type="default"/>
      <w:footerReference r:id="rId5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Light">
    <w:altName w:val="Adobe 仿宋 Std R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4E8C650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/>
      <w:numPr>
        <w:numId w:val="0"/>
      </w:numPr>
      <w:shd w:val="clear" w:color="auto" w:fill="auto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uiPriority w:val="0"/>
    <w:rPr>
      <w:u w:val="single"/>
    </w:rPr>
  </w:style>
  <w:style w:type="paragraph" w:customStyle="1" w:styleId="5">
    <w:name w:val="大标题"/>
    <w:next w:val="6"/>
    <w:uiPriority w:val="0"/>
    <w:pPr>
      <w:keepNext/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auto"/>
      <w:lang w:val="en-US"/>
    </w:rPr>
  </w:style>
  <w:style w:type="paragraph" w:customStyle="1" w:styleId="6">
    <w:name w:val="正文1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lang w:val="en-US"/>
    </w:rPr>
  </w:style>
  <w:style w:type="paragraph" w:customStyle="1" w:styleId="7">
    <w:name w:val="说明"/>
    <w:uiPriority w:val="0"/>
    <w:pPr>
      <w:widowControl/>
      <w:shd w:val="clear" w:color="auto" w:fill="auto"/>
      <w:tabs>
        <w:tab w:val="left" w:pos="1150"/>
      </w:tabs>
      <w:spacing w:before="0" w:after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b/>
      <w:bCs/>
      <w:caps/>
      <w:color w:val="000000"/>
      <w:spacing w:val="0"/>
      <w:w w:val="100"/>
      <w:kern w:val="0"/>
      <w:position w:val="0"/>
      <w:sz w:val="20"/>
      <w:szCs w:val="20"/>
      <w:u w:val="none" w:color="auto"/>
      <w:lang w:val="zh-CN" w:eastAsia="zh-CN"/>
    </w:rPr>
  </w:style>
  <w:style w:type="paragraph" w:customStyle="1" w:styleId="8">
    <w:name w:val="小标题 3"/>
    <w:next w:val="6"/>
    <w:uiPriority w:val="0"/>
    <w:pPr>
      <w:keepNext/>
      <w:widowControl/>
      <w:pBdr>
        <w:top w:val="single" w:color="515151" w:sz="4" w:space="0"/>
      </w:pBdr>
      <w:shd w:val="clear" w:color="auto" w:fill="auto"/>
      <w:spacing w:before="360" w:after="40" w:line="288" w:lineRule="auto"/>
      <w:ind w:left="0" w:right="0" w:firstLine="0"/>
      <w:jc w:val="left"/>
      <w:outlineLvl w:val="2"/>
    </w:pPr>
    <w:rPr>
      <w:rFonts w:hint="eastAsia" w:ascii="Arial Unicode MS" w:hAnsi="Arial Unicode MS" w:eastAsia="Helvetica Light" w:cs="Arial Unicode MS"/>
      <w:color w:val="000000"/>
      <w:spacing w:val="5"/>
      <w:w w:val="100"/>
      <w:kern w:val="0"/>
      <w:position w:val="0"/>
      <w:sz w:val="28"/>
      <w:szCs w:val="28"/>
      <w:u w:val="none" w:color="auto"/>
      <w:lang w:val="zh-CN" w:eastAsia="zh-CN"/>
    </w:rPr>
  </w:style>
  <w:style w:type="paragraph" w:customStyle="1" w:styleId="9">
    <w:name w:val="小标题（红色）"/>
    <w:next w:val="6"/>
    <w:uiPriority w:val="0"/>
    <w:pPr>
      <w:keepNext/>
      <w:widowControl/>
      <w:shd w:val="clear" w:color="auto" w:fill="auto"/>
      <w:spacing w:before="0" w:after="0" w:line="240" w:lineRule="auto"/>
      <w:ind w:left="0" w:right="0" w:firstLine="0"/>
      <w:jc w:val="left"/>
      <w:outlineLvl w:val="1"/>
    </w:pPr>
    <w:rPr>
      <w:rFonts w:hint="eastAsia" w:ascii="Arial Unicode MS" w:hAnsi="Arial Unicode MS" w:eastAsia="Helvetica" w:cs="Arial Unicode MS"/>
      <w:b/>
      <w:bCs/>
      <w:color w:val="C82505"/>
      <w:spacing w:val="0"/>
      <w:w w:val="100"/>
      <w:kern w:val="0"/>
      <w:position w:val="0"/>
      <w:sz w:val="32"/>
      <w:szCs w:val="32"/>
      <w:u w:val="none" w:color="auto"/>
      <w:lang w:val="zh-CN" w:eastAsia="zh-CN"/>
    </w:rPr>
  </w:style>
  <w:style w:type="table" w:customStyle="1" w:styleId="10">
    <w:name w:val="Table Normal"/>
    <w:uiPriority w:val="0"/>
    <w:tblPr>
      <w:tblStyle w:val="4"/>
      <w:tblLayout w:type="fixed"/>
    </w:tblPr>
    <w:tcPr>
      <w:textDirection w:val="lrTb"/>
    </w:tcPr>
    <w:tblStylePr w:type="firstRow">
      <w:tblPr>
        <w:tblStyle w:val="4"/>
        <w:tblLayout w:type="fixed"/>
      </w:tblPr>
      <w:tcPr>
        <w:textDirection w:val="lrTb"/>
      </w:tcPr>
    </w:tblStylePr>
    <w:tblStylePr w:type="lastRow">
      <w:tblPr>
        <w:tblStyle w:val="4"/>
        <w:tblLayout w:type="fixed"/>
      </w:tblPr>
      <w:tcPr>
        <w:textDirection w:val="lrTb"/>
      </w:tcPr>
    </w:tblStylePr>
    <w:tblStylePr w:type="firstCol">
      <w:tblPr>
        <w:tblStyle w:val="4"/>
        <w:tblLayout w:type="fixed"/>
      </w:tblPr>
      <w:tcPr>
        <w:textDirection w:val="lrTb"/>
      </w:tcPr>
    </w:tblStylePr>
    <w:tblStylePr w:type="lastCol">
      <w:tblPr>
        <w:tblStyle w:val="4"/>
        <w:tblLayout w:type="fixed"/>
      </w:tblPr>
      <w:tcPr>
        <w:textDirection w:val="lrTb"/>
      </w:tcPr>
    </w:tblStylePr>
    <w:tblStylePr w:type="band1Vert">
      <w:tblPr>
        <w:tblStyle w:val="4"/>
        <w:tblLayout w:type="fixed"/>
      </w:tblPr>
      <w:tcPr>
        <w:textDirection w:val="lrTb"/>
      </w:tcPr>
    </w:tblStylePr>
    <w:tblStylePr w:type="band2Vert">
      <w:tblPr>
        <w:tblStyle w:val="4"/>
        <w:tblLayout w:type="fixed"/>
      </w:tblPr>
      <w:tcPr>
        <w:textDirection w:val="lrTb"/>
      </w:tcPr>
    </w:tblStylePr>
    <w:tblStylePr w:type="band1Horz">
      <w:tblPr>
        <w:tblStyle w:val="4"/>
        <w:tblLayout w:type="fixed"/>
      </w:tblPr>
      <w:tcPr>
        <w:textDirection w:val="lrTb"/>
      </w:tcPr>
    </w:tblStylePr>
    <w:tblStylePr w:type="band2Horz">
      <w:tblPr>
        <w:tblStyle w:val="4"/>
        <w:tblLayout w:type="fixed"/>
      </w:tblPr>
      <w:tcPr>
        <w:textDirection w:val="lrTb"/>
      </w:tcPr>
    </w:tblStylePr>
    <w:tblStylePr w:type="neCell">
      <w:tblPr>
        <w:tblStyle w:val="4"/>
        <w:tblLayout w:type="fixed"/>
      </w:tblPr>
      <w:tcPr>
        <w:textDirection w:val="lrTb"/>
      </w:tcPr>
    </w:tblStylePr>
    <w:tblStylePr w:type="nwCell">
      <w:tblPr>
        <w:tblStyle w:val="4"/>
        <w:tblLayout w:type="fixed"/>
      </w:tblPr>
      <w:tcPr>
        <w:textDirection w:val="lrTb"/>
      </w:tcPr>
    </w:tblStylePr>
    <w:tblStylePr w:type="seCell">
      <w:tblPr>
        <w:tblStyle w:val="4"/>
        <w:tblLayout w:type="fixed"/>
      </w:tblPr>
      <w:tcPr>
        <w:textDirection w:val="lrTb"/>
      </w:tcPr>
    </w:tblStylePr>
    <w:tblStylePr w:type="swCell">
      <w:tblPr>
        <w:tblStyle w:val="4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2016-04-22T07:57:43Z</dcterms:created>
  <cp:lastModifiedBy>bankeys-01</cp:lastModifiedBy>
  <dcterms:modified xsi:type="dcterms:W3CDTF">2016-04-22T08:01:08Z</dcterms:modified>
  <dc:title>Bankeys取证中心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