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 w:after="80"/>
      </w:pPr>
      <w:r>
        <w:rPr>
          <w:rFonts w:ascii="Noto Sans CJK SC" w:hAnsi="Noto Sans CJK SC" w:eastAsia="Noto Sans CJK SC"/>
          <w:b/>
          <w:color w:val="1F4E78"/>
          <w:sz w:val="20"/>
        </w:rPr>
        <w:t>DATA-FIRST DELIVERY PACK</w:t>
      </w:r>
    </w:p>
    <w:p>
      <w:pPr>
        <w:spacing w:after="160"/>
      </w:pPr>
      <w:r>
        <w:rPr>
          <w:rFonts w:ascii="Noto Sans CJK SC" w:hAnsi="Noto Sans CJK SC" w:eastAsia="Noto Sans CJK SC"/>
          <w:b/>
          <w:color w:val="17365D"/>
          <w:sz w:val="62"/>
        </w:rPr>
        <w:t>首批数据采集实施方案</w:t>
      </w:r>
    </w:p>
    <w:p>
      <w:pPr>
        <w:spacing w:after="440"/>
      </w:pPr>
      <w:r>
        <w:rPr>
          <w:rFonts w:ascii="Noto Sans CJK SC" w:hAnsi="Noto Sans CJK SC" w:eastAsia="Noto Sans CJK SC"/>
          <w:color w:val="5B6573"/>
          <w:sz w:val="27"/>
        </w:rPr>
        <w:t>以五国真实种子数据驱动后续产品开发</w:t>
      </w:r>
    </w:p>
    <w:tbl>
      <w:tblPr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D5DEE8"/>
          <w:left w:val="single" w:sz="4" w:space="0" w:color="D5DEE8"/>
          <w:bottom w:val="single" w:sz="4" w:space="0" w:color="D5DEE8"/>
          <w:right w:val="single" w:sz="4" w:space="0" w:color="D5DEE8"/>
          <w:insideH w:val="single" w:sz="4" w:space="0" w:color="D5DEE8"/>
          <w:insideV w:val="single" w:sz="4" w:space="0" w:color="D5DEE8"/>
        </w:tblBorders>
      </w:tblPr>
      <w:tblGrid>
        <w:gridCol w:w="1050"/>
        <w:gridCol w:w="3000"/>
        <w:gridCol w:w="1250"/>
        <w:gridCol w:w="4060"/>
      </w:tblGrid>
      <w:tr>
        <w:trPr>
          <w:cantSplit/>
        </w:trP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版本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V1.0-BASELINE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周期</w:t>
            </w:r>
          </w:p>
        </w:tc>
        <w:tc>
          <w:tcPr>
            <w:tcW w:type="dxa" w:w="40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8周</w:t>
            </w:r>
          </w:p>
        </w:tc>
      </w:tr>
      <w:tr>
        <w:trPr>
          <w:cantSplit/>
        </w:trPr>
        <w:tc>
          <w:tcPr>
            <w:tcW w:type="dxa" w:w="105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阶段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D0—D4</w:t>
            </w:r>
          </w:p>
        </w:tc>
        <w:tc>
          <w:tcPr>
            <w:tcW w:type="dxa" w:w="1250"/>
            <w:tcMar>
              <w:top w:w="100" w:type="dxa"/>
              <w:start w:w="120" w:type="dxa"/>
              <w:bottom w:w="10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强制门禁</w:t>
            </w:r>
          </w:p>
        </w:tc>
        <w:tc>
          <w:tcPr>
            <w:tcW w:type="dxa" w:w="4060"/>
            <w:tcMar>
              <w:top w:w="100" w:type="dxa"/>
              <w:start w:w="120" w:type="dxa"/>
              <w:bottom w:w="10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D4通过后启动V0.1</w:t>
            </w:r>
          </w:p>
        </w:tc>
      </w:tr>
    </w:tbl>
    <w:tbl>
      <w:tblPr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rFonts w:ascii="Noto Sans CJK SC" w:hAnsi="Noto Sans CJK SC" w:eastAsia="Noto Sans CJK SC"/>
                <w:b/>
                <w:color w:val="9B1C1C"/>
                <w:sz w:val="21"/>
              </w:rPr>
              <w:t>强制门禁：D4数据就绪评审通过后，方可启动V0.1用户侧产品开发。</w:t>
            </w:r>
          </w:p>
        </w:tc>
      </w:tr>
    </w:tbl>
    <w:p>
      <w:pPr>
        <w:spacing w:before="280" w:after="0"/>
      </w:pPr>
      <w:r>
        <w:rPr>
          <w:rFonts w:ascii="Noto Sans CJK SC" w:hAnsi="Noto Sans CJK SC" w:eastAsia="Noto Sans CJK SC"/>
          <w:color w:val="5B6573"/>
          <w:sz w:val="19"/>
        </w:rPr>
        <w:t>编制日期：2026年7月24日　｜　状态：已确认，D0已启动</w:t>
      </w:r>
    </w:p>
    <w:p>
      <w:r>
        <w:br w:type="page"/>
      </w:r>
    </w:p>
    <w:p>
      <w:pPr>
        <w:spacing w:before="80" w:after="80"/>
        <w:ind w:left="259" w:right="144"/>
        <w:shd w:fill="F4F6F9"/>
      </w:pPr>
      <w:r>
        <w:rPr>
          <w:rFonts w:ascii="Noto Sans CJK SC" w:hAnsi="Noto Sans CJK SC" w:eastAsia="Noto Sans CJK SC"/>
          <w:color w:val="0B2545"/>
          <w:sz w:val="22"/>
        </w:rPr>
        <w:t>版本：V1.0-BASELINE（已确认）</w:t>
      </w:r>
    </w:p>
    <w:p>
      <w:pPr>
        <w:spacing w:before="80" w:after="80"/>
        <w:ind w:left="259" w:right="144"/>
        <w:shd w:fill="F4F6F9"/>
      </w:pPr>
      <w:r>
        <w:rPr>
          <w:rFonts w:ascii="Noto Sans CJK SC" w:hAnsi="Noto Sans CJK SC" w:eastAsia="Noto Sans CJK SC"/>
          <w:color w:val="0B2545"/>
          <w:sz w:val="22"/>
        </w:rPr>
        <w:t>当前状态：D0数据标准冻结已启动，责任人签署待完成</w:t>
      </w:r>
    </w:p>
    <w:p>
      <w:pPr>
        <w:spacing w:before="80" w:after="80"/>
        <w:ind w:left="259" w:right="144"/>
        <w:shd w:fill="F4F6F9"/>
      </w:pPr>
      <w:r>
        <w:rPr>
          <w:rFonts w:ascii="Noto Sans CJK SC" w:hAnsi="Noto Sans CJK SC" w:eastAsia="Noto Sans CJK SC"/>
          <w:color w:val="0B2545"/>
          <w:sz w:val="22"/>
        </w:rPr>
        <w:t>执行阶段：D0—D4，计划周期8周</w:t>
      </w:r>
    </w:p>
    <w:p>
      <w:pPr>
        <w:spacing w:before="80" w:after="80"/>
        <w:ind w:left="259" w:right="144"/>
        <w:shd w:fill="F4F6F9"/>
      </w:pPr>
      <w:r>
        <w:rPr>
          <w:rFonts w:ascii="Noto Sans CJK SC" w:hAnsi="Noto Sans CJK SC" w:eastAsia="Noto Sans CJK SC"/>
          <w:color w:val="0B2545"/>
          <w:sz w:val="22"/>
        </w:rPr>
        <w:t>强制门禁：D4数据就绪评审通过后，方可启动V0.1用户侧产品开发</w:t>
      </w:r>
    </w:p>
    <w:p>
      <w:pPr>
        <w:pStyle w:val="Heading1"/>
      </w:pPr>
      <w:r>
        <w:t>1. 方案目的</w:t>
      </w:r>
    </w:p>
    <w:p>
      <w:r>
        <w:rPr>
          <w:rFonts w:ascii="Noto Sans CJK SC" w:hAnsi="Noto Sans CJK SC" w:eastAsia="Noto Sans CJK SC"/>
          <w:color w:val="0B2545"/>
          <w:sz w:val="22"/>
        </w:rPr>
        <w:t>本方案把“先收集数据，再进行开发”落实为可排期、可分工、可填报、可验收的首批数据工程。目标不是在开发前采集全世界所有数据，而是先冻结统一标准，建设一个完整样板国家和四个跨区域比较国家的真实种子库，用真实数据验证字段、页面、搜索、评分、AI引用和持续更新机制。</w:t>
      </w:r>
    </w:p>
    <w:p>
      <w:r>
        <w:rPr>
          <w:rFonts w:ascii="Noto Sans CJK SC" w:hAnsi="Noto Sans CJK SC" w:eastAsia="Noto Sans CJK SC"/>
          <w:color w:val="0B2545"/>
          <w:sz w:val="22"/>
        </w:rPr>
        <w:t>首批阶段只建设支撑来源登记、资料下载、清洗、审核和验收所需的临时工具。临时工具不得绕过来源许可、审核发布、企业权限或数据质量门禁，也不得自然演变为未经架构评审的生产平台。</w:t>
      </w:r>
    </w:p>
    <w:p>
      <w:pPr>
        <w:pStyle w:val="Heading1"/>
      </w:pPr>
      <w:r>
        <w:t>2. 首批国家范围</w:t>
      </w:r>
    </w:p>
    <w:p>
      <w:r>
        <w:rPr>
          <w:rFonts w:ascii="Noto Sans CJK SC" w:hAnsi="Noto Sans CJK SC" w:eastAsia="Noto Sans CJK SC"/>
          <w:color w:val="0B2545"/>
          <w:sz w:val="22"/>
        </w:rPr>
        <w:t>首批采用“1个完整样板＋4个标准比较样本”：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118"/>
        <w:gridCol w:w="1118"/>
        <w:gridCol w:w="3073"/>
        <w:gridCol w:w="2934"/>
        <w:gridCol w:w="1117"/>
      </w:tblGrid>
      <w:tr>
        <w:trPr>
          <w:tblHeader w:val="true"/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国家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ISO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覆盖目标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选择目的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优先数据语言</w:t>
            </w:r>
          </w:p>
        </w:tc>
      </w:tr>
      <w:tr>
        <w:trPr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印度尼西亚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IDN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Complete候选；核心字段完整率≥90%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已确定的首个样板国家；验证完整国家情报结构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印尼语、英语</w:t>
            </w:r>
          </w:p>
        </w:tc>
      </w:tr>
      <w:tr>
        <w:trPr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越南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VNM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Standard种子；核心字段完整率≥70%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验证东南亚相邻市场、越南语资料和跨国对比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越南语、英语</w:t>
            </w:r>
          </w:p>
        </w:tc>
      </w:tr>
      <w:tr>
        <w:trPr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沙特阿拉伯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SAU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Standard种子；核心字段完整率≥70%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验证海湾市场、集中采购和阿拉伯语资料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阿拉伯语、英语</w:t>
            </w:r>
          </w:p>
        </w:tc>
      </w:tr>
      <w:tr>
        <w:trPr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南非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ZAF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Standard种子；核心字段完整率≥70%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验证非洲监管、电力与IPP采购数据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英语</w:t>
            </w:r>
          </w:p>
        </w:tc>
      </w:tr>
      <w:tr>
        <w:trPr>
          <w:cantSplit/>
        </w:trPr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巴西</w:t>
            </w:r>
          </w:p>
        </w:tc>
        <w:tc>
          <w:tcPr>
            <w:tcW w:type="dxa" w:w="111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BRA</w:t>
            </w:r>
          </w:p>
        </w:tc>
        <w:tc>
          <w:tcPr>
            <w:tcW w:type="dxa" w:w="30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Standard种子；核心字段完整率≥70%</w:t>
            </w:r>
          </w:p>
        </w:tc>
        <w:tc>
          <w:tcPr>
            <w:tcW w:type="dxa" w:w="29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验证拉美市场、葡萄牙语资料和大体量电力数据</w:t>
            </w:r>
          </w:p>
        </w:tc>
        <w:tc>
          <w:tcPr>
            <w:tcW w:type="dxa" w:w="111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葡萄牙语、英语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比较国入选是为了验证跨区域数据兼容性，不代表平台对市场吸引力作最终排名。若D1发现来源许可、获取稳定性或语言资源不足，可提交变更单替换比较国；印尼样板不得在无项目委员会批准的情况下替换。</w:t>
      </w:r>
    </w:p>
    <w:p>
      <w:pPr>
        <w:pStyle w:val="Heading1"/>
      </w:pPr>
      <w:r>
        <w:t>3. 首批数据域和最低样本目标</w:t>
      </w:r>
    </w:p>
    <w:p>
      <w:pPr>
        <w:pStyle w:val="Heading2"/>
      </w:pPr>
      <w:r>
        <w:t>3.1 数据域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国家画像：基本信息、宏观经济、营商环境、能源结构、电力市场、投资与准入；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政策法规：法律、行政法规、监管规则、规划、激励政策、技术和本地化要求；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市场与风险：装机、发电、需求、价格、并网、汇率、融资、主权、合规和供应链风险；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项目与招标：规划、开发、招标、授标、建设、投运和取消/争议状态；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企业与伙伴：政府机构、监管、电网、开发商、EPC、设备商、金融、律所、咨询和中资企业；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来源与证据：来源登记、条款快照、网页/PDF/表格原件、哈希、定位、采集与审核记录；</w:t>
      </w:r>
    </w:p>
    <w:p>
      <w:pPr>
        <w:numPr>
          <w:ilvl w:val="0"/>
          <w:numId w:val="11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AI知识资料：仅将已批准、可用于AI且权限元数据完整的发布资料进入知识库候选区。</w:t>
      </w:r>
    </w:p>
    <w:p>
      <w:pPr>
        <w:pStyle w:val="Heading2"/>
      </w:pPr>
      <w:r>
        <w:t>3.2 最低开发样本</w:t>
      </w:r>
    </w:p>
    <w:p>
      <w:r>
        <w:rPr>
          <w:rFonts w:ascii="Noto Sans CJK SC" w:hAnsi="Noto Sans CJK SC" w:eastAsia="Noto Sans CJK SC"/>
          <w:color w:val="0B2545"/>
          <w:sz w:val="22"/>
        </w:rPr>
        <w:t>以下目标用于判断“是否足够驱动开发和测试”，不等同于市场数据穷尽：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145"/>
        <w:gridCol w:w="1755"/>
        <w:gridCol w:w="1755"/>
        <w:gridCol w:w="3705"/>
      </w:tblGrid>
      <w:tr>
        <w:trPr>
          <w:tblHeader w:val="true"/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对象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印尼最低目标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每个比较国最低目标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质量要求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核心国家字段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D0字段集的90%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D0字段集的70%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关键字段100%有来源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已准入来源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20个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8个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A/B级来源占核心事实主要比例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政策/法规/规划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30条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12条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原文、发布日期、生效/失效和主题完整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市场指标时间序列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25组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12组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单位、周期、口径、币种和来源完整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风险事实/事件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20条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8条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事实、判断、等级和证据分层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项目机会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50条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20条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阶段、主体、容量/规模、地点、核实状态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招标/采购机会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20条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8条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截止日、采购方、文件、状态和来源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伙伴/服务资源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80家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30家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主体去重、类型、覆盖国和核实状态</w:t>
            </w:r>
          </w:p>
        </w:tc>
      </w:tr>
      <w:tr>
        <w:trPr>
          <w:cantSplit/>
        </w:trPr>
        <w:tc>
          <w:tcPr>
            <w:tcW w:type="dxa" w:w="214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可用于RAG的发布文档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60份</w:t>
            </w:r>
          </w:p>
        </w:tc>
        <w:tc>
          <w:tcPr>
            <w:tcW w:type="dxa" w:w="17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20份</w:t>
            </w:r>
          </w:p>
        </w:tc>
        <w:tc>
          <w:tcPr>
            <w:tcW w:type="dxa" w:w="37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权限、版本、引用定位和撤权规则完整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样本数量达标但关键事实不可追溯、重复严重或过期，仍视为不达标。数量不足但能证明某类公开信息客观不存在时，应使用</w:t>
      </w:r>
      <w:r>
        <w:rPr>
          <w:rFonts w:ascii="DejaVu Sans Mono" w:hAnsi="DejaVu Sans Mono" w:eastAsia="DejaVu Sans Mono"/>
          <w:color w:val="1F4E78"/>
          <w:sz w:val="18"/>
        </w:rPr>
        <w:t>value_status</w:t>
      </w:r>
      <w:r>
        <w:rPr>
          <w:rFonts w:ascii="Noto Sans CJK SC" w:hAnsi="Noto Sans CJK SC" w:eastAsia="Noto Sans CJK SC"/>
          <w:color w:val="0B2545"/>
          <w:sz w:val="22"/>
        </w:rPr>
        <w:t>和依据记录，不得伪造或用0填充。</w:t>
      </w:r>
    </w:p>
    <w:p>
      <w:pPr>
        <w:pStyle w:val="Heading1"/>
      </w:pPr>
      <w:r>
        <w:t>4. D0—D4阶段计划</w:t>
      </w:r>
    </w:p>
    <w:p>
      <w:pPr>
        <w:pStyle w:val="Heading2"/>
      </w:pPr>
      <w:r>
        <w:t>4.1 八周总计划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019"/>
        <w:gridCol w:w="1468"/>
        <w:gridCol w:w="3671"/>
        <w:gridCol w:w="2202"/>
      </w:tblGrid>
      <w:tr>
        <w:trPr>
          <w:tblHeader w:val="true"/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阶段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周期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核心工作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退出条件</w:t>
            </w:r>
          </w:p>
        </w:tc>
      </w:tr>
      <w:tr>
        <w:trPr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D0 数据标准冻结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第1周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冻结实体、字段、枚举、命名、文件和证据链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核心字段集和模板批准</w:t>
            </w:r>
          </w:p>
        </w:tc>
      </w:tr>
      <w:tr>
        <w:trPr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D1 数据源建档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第1—2周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发现、分级、条款快照、许可和替代源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核心域有优先源和备选源</w:t>
            </w:r>
          </w:p>
        </w:tc>
      </w:tr>
      <w:tr>
        <w:trPr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D2 原始数据采集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第2—5周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API、网页、PDF、表格和人工资料采集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原始包、日志和哈希完整</w:t>
            </w:r>
          </w:p>
        </w:tc>
      </w:tr>
      <w:tr>
        <w:trPr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D3 清洗结构化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第3—6周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解析、翻译、映射、去重、实体对齐和版本化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标准化候选数据形成</w:t>
            </w:r>
          </w:p>
        </w:tc>
      </w:tr>
      <w:tr>
        <w:trPr>
          <w:cantSplit/>
        </w:trPr>
        <w:tc>
          <w:tcPr>
            <w:tcW w:type="dxa" w:w="201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D4 审核与种子库验收</w:t>
            </w:r>
          </w:p>
        </w:tc>
        <w:tc>
          <w:tcPr>
            <w:tcW w:type="dxa" w:w="14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第6—8周</w:t>
            </w:r>
          </w:p>
        </w:tc>
        <w:tc>
          <w:tcPr>
            <w:tcW w:type="dxa" w:w="36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规则校验、人工复核、发布、抽样和评分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D4总分≥85且硬门通过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D1—D3允许受控重叠，但某个来源未完成准入前，不得进入自动批量采集；某条记录未完成质量和审核前，不得进入正式发布区或AI知识库。</w:t>
      </w:r>
    </w:p>
    <w:p>
      <w:pPr>
        <w:pStyle w:val="Heading2"/>
      </w:pPr>
      <w:r>
        <w:t>4.2 D0 数据标准冻结</w:t>
      </w:r>
    </w:p>
    <w:p>
      <w:r>
        <w:rPr>
          <w:rFonts w:ascii="Noto Sans CJK SC" w:hAnsi="Noto Sans CJK SC" w:eastAsia="Noto Sans CJK SC"/>
          <w:b/>
          <w:color w:val="0B2545"/>
          <w:sz w:val="22"/>
        </w:rPr>
        <w:t>任务：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从现有数据字典中确定</w:t>
      </w:r>
      <w:r>
        <w:rPr>
          <w:rFonts w:ascii="DejaVu Sans Mono" w:hAnsi="DejaVu Sans Mono" w:eastAsia="DejaVu Sans Mono"/>
          <w:color w:val="1F4E78"/>
          <w:sz w:val="18"/>
        </w:rPr>
        <w:t>country_core_field_set_v1</w:t>
      </w:r>
      <w:r>
        <w:rPr>
          <w:rFonts w:ascii="Noto Sans CJK SC" w:hAnsi="Noto Sans CJK SC" w:eastAsia="Noto Sans CJK SC"/>
          <w:color w:val="0B2545"/>
          <w:sz w:val="22"/>
        </w:rPr>
        <w:t>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冻结国家、政策、风险、项目、招标、伙伴和来源的必填字段；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冻结风险、核实、发布、质量、时效和值状态枚举；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冻结货币、单位、时区、日期和多语言规则；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建立原始文件命名、目录、哈希和元数据模板；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建立字段映射、数据审核和D4验收模板；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选择每类实体3—5个金标准样本，作为后续映射和测试基准。</w:t>
      </w:r>
    </w:p>
    <w:p>
      <w:r>
        <w:rPr>
          <w:rFonts w:ascii="Noto Sans CJK SC" w:hAnsi="Noto Sans CJK SC" w:eastAsia="Noto Sans CJK SC"/>
          <w:b/>
          <w:color w:val="0B2545"/>
          <w:sz w:val="22"/>
        </w:rPr>
        <w:t>退出物：</w:t>
      </w:r>
      <w:r>
        <w:rPr>
          <w:rFonts w:ascii="Noto Sans CJK SC" w:hAnsi="Noto Sans CJK SC" w:eastAsia="Noto Sans CJK SC"/>
          <w:color w:val="0B2545"/>
          <w:sz w:val="22"/>
        </w:rPr>
        <w:t xml:space="preserve"> D0批准记录、核心字段集、枚举、导入模板、来源模板、证据链模板、文件规范和金标准样本。</w:t>
      </w:r>
    </w:p>
    <w:p>
      <w:pPr>
        <w:pStyle w:val="Heading2"/>
      </w:pPr>
      <w:r>
        <w:t>4.3 D1 数据源建档</w:t>
      </w:r>
    </w:p>
    <w:p>
      <w:r>
        <w:rPr>
          <w:rFonts w:ascii="Noto Sans CJK SC" w:hAnsi="Noto Sans CJK SC" w:eastAsia="Noto Sans CJK SC"/>
          <w:b/>
          <w:color w:val="0B2545"/>
          <w:sz w:val="22"/>
        </w:rPr>
        <w:t>准入步骤：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登记机构、入口、国家、数据域和内容类型；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判断A—E权威等级和是否为原始发布者；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保存使用条款、版权/许可、robots/访问规则和复核日期；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记录API、下载、人工浏览或授权文件等允许方式；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明确缓存、原文保存、再分发、翻译和AI索引边界；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进行样本获取，验证字段覆盖、稳定性和可定位性；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数据与合规审核后转</w:t>
      </w:r>
      <w:r>
        <w:rPr>
          <w:rFonts w:ascii="DejaVu Sans Mono" w:hAnsi="DejaVu Sans Mono" w:eastAsia="DejaVu Sans Mono"/>
          <w:color w:val="1F4E78"/>
          <w:sz w:val="18"/>
        </w:rPr>
        <w:t>active</w:t>
      </w:r>
      <w:r>
        <w:rPr>
          <w:rFonts w:ascii="Noto Sans CJK SC" w:hAnsi="Noto Sans CJK SC" w:eastAsia="Noto Sans CJK SC"/>
          <w:color w:val="0B2545"/>
          <w:sz w:val="22"/>
        </w:rPr>
        <w:t>，否则保持</w:t>
      </w:r>
      <w:r>
        <w:rPr>
          <w:rFonts w:ascii="DejaVu Sans Mono" w:hAnsi="DejaVu Sans Mono" w:eastAsia="DejaVu Sans Mono"/>
          <w:color w:val="1F4E78"/>
          <w:sz w:val="18"/>
        </w:rPr>
        <w:t>under_review</w:t>
      </w:r>
      <w:r>
        <w:rPr>
          <w:rFonts w:ascii="Noto Sans CJK SC" w:hAnsi="Noto Sans CJK SC" w:eastAsia="Noto Sans CJK SC"/>
          <w:color w:val="0B2545"/>
          <w:sz w:val="22"/>
        </w:rPr>
        <w:t>或</w:t>
      </w:r>
      <w:r>
        <w:rPr>
          <w:rFonts w:ascii="DejaVu Sans Mono" w:hAnsi="DejaVu Sans Mono" w:eastAsia="DejaVu Sans Mono"/>
          <w:color w:val="1F4E78"/>
          <w:sz w:val="18"/>
        </w:rPr>
        <w:t>blocked</w:t>
      </w:r>
      <w:r>
        <w:rPr>
          <w:rFonts w:ascii="Noto Sans CJK SC" w:hAnsi="Noto Sans CJK SC" w:eastAsia="Noto Sans CJK SC"/>
          <w:color w:val="0B2545"/>
          <w:sz w:val="22"/>
        </w:rPr>
        <w:t>；</w:t>
      </w:r>
    </w:p>
    <w:p>
      <w:pPr>
        <w:numPr>
          <w:ilvl w:val="0"/>
          <w:numId w:val="12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为每个关键域登记至少一个替代来源。</w:t>
      </w:r>
    </w:p>
    <w:p>
      <w:pPr>
        <w:pStyle w:val="Heading2"/>
      </w:pPr>
      <w:r>
        <w:t>4.4 D2 原始数据采集</w:t>
      </w:r>
    </w:p>
    <w:p>
      <w:r>
        <w:rPr>
          <w:rFonts w:ascii="Noto Sans CJK SC" w:hAnsi="Noto Sans CJK SC" w:eastAsia="Noto Sans CJK SC"/>
          <w:color w:val="0B2545"/>
          <w:sz w:val="22"/>
        </w:rPr>
        <w:t>原始层只增不改。每次采集至少保存任务、运行、请求范围、响应/文件、采集时间、内容类型、状态码、哈希、来源版本和错误。网页需保存足以复现关键事实的快照或结构化证据；PDF和表格保存原文件；API保存请求参数、分页和水位。</w:t>
      </w:r>
    </w:p>
    <w:p>
      <w:r>
        <w:rPr>
          <w:rFonts w:ascii="Noto Sans CJK SC" w:hAnsi="Noto Sans CJK SC" w:eastAsia="Noto Sans CJK SC"/>
          <w:b/>
          <w:color w:val="0B2545"/>
          <w:sz w:val="22"/>
        </w:rPr>
        <w:t>禁止事项：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绕过登录、验证码、付费墙、访问控制或明确禁止的技术措施；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将公开展示误解为可批量复制、再分发或用于模型训练；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覆盖原始文件、删除失败记录或修改历史响应；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采集无关个人信息、敏感联系方式或超出目的范围的数据；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用人工复制掩盖自动化失败而不记录来源和操作者。</w:t>
      </w:r>
    </w:p>
    <w:p>
      <w:pPr>
        <w:pStyle w:val="Heading2"/>
      </w:pPr>
      <w:r>
        <w:t>4.5 D3 清洗结构化</w:t>
      </w:r>
    </w:p>
    <w:p>
      <w:r>
        <w:rPr>
          <w:rFonts w:ascii="Noto Sans CJK SC" w:hAnsi="Noto Sans CJK SC" w:eastAsia="Noto Sans CJK SC"/>
          <w:color w:val="0B2545"/>
          <w:sz w:val="22"/>
        </w:rPr>
        <w:t>处理链路为：文件扫描→格式识别→文本/表格提取→语言识别→字段映射→单位币种标准化→实体解析→去重→翻译→质量规则→人工待办→候选版本。</w:t>
      </w:r>
    </w:p>
    <w:p>
      <w:r>
        <w:rPr>
          <w:rFonts w:ascii="Noto Sans CJK SC" w:hAnsi="Noto Sans CJK SC" w:eastAsia="Noto Sans CJK SC"/>
          <w:b/>
          <w:color w:val="0B2545"/>
          <w:sz w:val="22"/>
        </w:rPr>
        <w:t>关键要求：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源文、译文和结构化值分别保存，并以源哈希绑定；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金额同时保存原币、币种、换算值、汇率日和来源；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容量、发电量、面积等统一单位，同时保留原单位和原值；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同名项目或企业只在证据充分时合并，模糊合并必须人工确认且可撤销；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同一通讯稿的多站转载识别为同一来源族，不虚增独立来源数；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项目通用事实和企业个性化评价分开存储；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对冲突来源保留双方证据并转人工复核，不覆盖成单一值。</w:t>
      </w:r>
    </w:p>
    <w:p>
      <w:pPr>
        <w:pStyle w:val="Heading2"/>
      </w:pPr>
      <w:r>
        <w:t>4.6 D4 审核与种子库验收</w:t>
      </w:r>
    </w:p>
    <w:p>
      <w:r>
        <w:rPr>
          <w:rFonts w:ascii="Noto Sans CJK SC" w:hAnsi="Noto Sans CJK SC" w:eastAsia="Noto Sans CJK SC"/>
          <w:color w:val="0B2545"/>
          <w:sz w:val="22"/>
        </w:rPr>
        <w:t>D4按对象审核和项目总评两层执行。对象审核检查字段、来源、定位、核实、时效、权限和发布；项目总评检查覆盖、准确、可追溯、重复、可重放和交付完整性。</w:t>
      </w:r>
    </w:p>
    <w:p>
      <w:pPr>
        <w:pStyle w:val="Heading1"/>
      </w:pPr>
      <w:r>
        <w:t>5. 首批官方来源锚点</w:t>
      </w:r>
    </w:p>
    <w:p>
      <w:r>
        <w:rPr>
          <w:rFonts w:ascii="Noto Sans CJK SC" w:hAnsi="Noto Sans CJK SC" w:eastAsia="Noto Sans CJK SC"/>
          <w:color w:val="0B2545"/>
          <w:sz w:val="22"/>
        </w:rPr>
        <w:t>下表是D1的起始候选，不代表自动准入；执行时仍需保存当日条款、访问和许可快照。</w:t>
      </w:r>
    </w:p>
    <w:p>
      <w:pPr>
        <w:pStyle w:val="Heading2"/>
      </w:pPr>
      <w:r>
        <w:t>5.1 跨国标准来源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127"/>
        <w:gridCol w:w="1844"/>
        <w:gridCol w:w="4255"/>
        <w:gridCol w:w="1134"/>
      </w:tblGrid>
      <w:tr>
        <w:trPr>
          <w:tblHeader w:val="true"/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来源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主要数据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起始入口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预期等级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世界银行数据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宏观、人口、经济和发展指标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https://data.worldbank.org/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世界银行项目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项目、融资和采购线索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https://projects.worldbank.org/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IRENA数据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可再生能源装机、发电和平衡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https://www.irena.org/Data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UN Comtrade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按国家和HS编码的贸易数据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https://comtrade.un.org/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UN Comtrade API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贸易数据接口及开发说明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https://comtradedeveloper.un.org/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ADB项目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亚洲项目、文件和招标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https://www.adb.org/projects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AfDB采购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非洲项目采购和通知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https://www.afdb.org/en/projects-and-operations/procurement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  <w:tr>
        <w:trPr>
          <w:cantSplit/>
        </w:trPr>
        <w:tc>
          <w:tcPr>
            <w:tcW w:type="dxa" w:w="212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UNGM</w:t>
            </w:r>
          </w:p>
        </w:tc>
        <w:tc>
          <w:tcPr>
            <w:tcW w:type="dxa" w:w="18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联合国采购机会</w:t>
            </w:r>
          </w:p>
        </w:tc>
        <w:tc>
          <w:tcPr>
            <w:tcW w:type="dxa" w:w="425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https://www.ungm.org/</w:t>
            </w:r>
          </w:p>
        </w:tc>
        <w:tc>
          <w:tcPr>
            <w:tcW w:type="dxa" w:w="113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B</w:t>
            </w:r>
          </w:p>
        </w:tc>
      </w:tr>
    </w:tbl>
    <w:p>
      <w:pPr>
        <w:spacing w:after="20"/>
      </w:pPr>
    </w:p>
    <w:p>
      <w:pPr>
        <w:pStyle w:val="Heading2"/>
      </w:pPr>
      <w:r>
        <w:t>5.2 国家官方来源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413"/>
        <w:gridCol w:w="5298"/>
        <w:gridCol w:w="2649"/>
      </w:tblGrid>
      <w:tr>
        <w:trPr>
          <w:tblHeader w:val="true"/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国家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来源机构/入口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主要用途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印尼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ESDM能源统计：https://www.esdm.go.id/en/publication/handbook-of-energy-economic-statistics-of-indonesia-heesi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能源统计和官方出版物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印尼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PLN电子采购：https://eproc.pln.co.id/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电网采购、招标和授标线索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越南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工贸部能源栏目：https://moit.gov.vn/en/news/energy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政策、能源和监管动态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越南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EVN：https://en.evn.com.vn/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电力运行、项目和年度报告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沙特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能源部：https://www.moenergy.gov.sa/en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政策、项目和国家能源计划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沙特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Principal Buyer：https://pb.com.sa/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电力采购、开发商资格和项目授标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南非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矿产资源与能源部门：https://www.dmre.gov.za/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政策、规划和监管信息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南非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IPP项目办公室：https://www.ipp-projects.co.za/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REIPPPP和储能等采购项目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巴西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矿业和能源部：https://www.gov.br/mme/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政策、统计和能源公报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巴西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ANEEL：https://www.gov.br/aneel/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电力监管、项目和市场数据</w:t>
            </w:r>
          </w:p>
        </w:tc>
      </w:tr>
      <w:tr>
        <w:trPr>
          <w:cantSplit/>
        </w:trPr>
        <w:tc>
          <w:tcPr>
            <w:tcW w:type="dxa" w:w="141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巴西</w:t>
            </w:r>
          </w:p>
        </w:tc>
        <w:tc>
          <w:tcPr>
            <w:tcW w:type="dxa" w:w="529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EPE：https://www.epe.gov.br/</w:t>
            </w:r>
          </w:p>
        </w:tc>
        <w:tc>
          <w:tcPr>
            <w:tcW w:type="dxa" w:w="26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能源规划、平衡和研究数据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除上述来源外，统计局、投资主管部门、法律法规数据库、中央银行、证券交易所、电网运营商和项目主体官网，应在D1按数据域补齐。</w:t>
      </w:r>
    </w:p>
    <w:p>
      <w:pPr>
        <w:pStyle w:val="Heading1"/>
      </w:pPr>
      <w:r>
        <w:t>6. 原始资料目录与命名</w:t>
      </w:r>
    </w:p>
    <w:p>
      <w:r>
        <w:rPr>
          <w:rFonts w:ascii="Noto Sans CJK SC" w:hAnsi="Noto Sans CJK SC" w:eastAsia="Noto Sans CJK SC"/>
          <w:color w:val="0B2545"/>
          <w:sz w:val="22"/>
        </w:rPr>
        <w:t>建议目录：</w:t>
      </w:r>
    </w:p>
    <w:tbl>
      <w:tblPr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0B2545"/>
                <w:sz w:val="17"/>
              </w:rPr>
              <w:t>data/</w:t>
              <w:br/>
              <w:t xml:space="preserve">  l0_raw/{country}/{source_code}/{yyyy}/{mm}/{run_id}/</w:t>
              <w:br/>
              <w:t xml:space="preserve">  l1_parsed/{entity}/{batch_id}/</w:t>
              <w:br/>
              <w:t xml:space="preserve">  l2_standardized/{entity}/{batch_id}/</w:t>
              <w:br/>
              <w:t xml:space="preserve">  l3_published/{release_id}/</w:t>
              <w:br/>
              <w:t xml:space="preserve">  manifests/</w:t>
              <w:br/>
              <w:t xml:space="preserve">  quality_reports/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原始文件名：</w:t>
      </w:r>
    </w:p>
    <w:tbl>
      <w:tblPr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D7DBE2"/>
          <w:left w:val="single" w:sz="4" w:space="0" w:color="D7DBE2"/>
          <w:bottom w:val="single" w:sz="4" w:space="0" w:color="D7DBE2"/>
          <w:right w:val="single" w:sz="4" w:space="0" w:color="D7DBE2"/>
          <w:insideH w:val="single" w:sz="4" w:space="0" w:color="D7DBE2"/>
          <w:insideV w:val="single" w:sz="4" w:space="0" w:color="D7DBE2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4F6F9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pPr>
              <w:spacing w:after="0" w:line="240" w:lineRule="auto"/>
            </w:pPr>
            <w:r/>
            <w:r>
              <w:rPr>
                <w:rFonts w:ascii="DejaVu Sans Mono" w:hAnsi="DejaVu Sans Mono" w:eastAsia="DejaVu Sans Mono"/>
                <w:color w:val="0B2545"/>
                <w:sz w:val="17"/>
              </w:rPr>
              <w:t>{country}_{source_code}_{document_type}_{published_date}_{source_id}_{content_hash8}.{ext}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color w:val="0B2545"/>
          <w:sz w:val="22"/>
        </w:rPr>
        <w:t>每个文件必须有清单记录：原始URL、最终URL、机构、标题、发布日期、采集时间、访问方式、语言、MIME、字节数、SHA-256、运行ID、许可快照ID、解析状态和保留期限。</w:t>
      </w:r>
    </w:p>
    <w:p>
      <w:pPr>
        <w:pStyle w:val="Heading1"/>
      </w:pPr>
      <w:r>
        <w:t>7. 人员组织与RACI</w:t>
      </w:r>
    </w:p>
    <w:p>
      <w:pPr>
        <w:pStyle w:val="Heading2"/>
      </w:pPr>
      <w:r>
        <w:t>7.1 建议团队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71"/>
        <w:gridCol w:w="2709"/>
        <w:gridCol w:w="4680"/>
      </w:tblGrid>
      <w:tr>
        <w:trPr>
          <w:tblHeader w:val="true"/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角色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建议投入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主要职责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数据负责人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1.0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范围、标准、D4质量和最终签署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数据架构/后端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0.5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实体、字段、版本、导入和种子库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数据工程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1.0—1.5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采集任务、文件、解析、日志和重放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数据研究员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2.0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五国来源、政策、项目、伙伴和人工核实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多语言审校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0.5—1.0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印尼语、越南语、阿拉伯语、葡萄牙语复核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数据质量/测试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0.5—1.0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规则、抽样、问题、复验和D4证据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法务/合规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0.2—0.3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来源许可、隐私、再分发和AI使用边界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产品/业务专家</w:t>
            </w:r>
          </w:p>
        </w:tc>
        <w:tc>
          <w:tcPr>
            <w:tcW w:type="dxa" w:w="270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0.3—0.5 FTE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核心字段、样本价值和验收场景</w:t>
            </w:r>
          </w:p>
        </w:tc>
      </w:tr>
    </w:tbl>
    <w:p>
      <w:pPr>
        <w:spacing w:after="20"/>
      </w:pPr>
    </w:p>
    <w:p>
      <w:pPr>
        <w:pStyle w:val="Heading2"/>
      </w:pPr>
      <w:r>
        <w:t>7.2 关键RACI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rPr>
          <w:tblHeader w:val="true"/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事项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数据负责人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数据工程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研究员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质量测试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合规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产品业务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技术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D0字段冻结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来源准入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原始采集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清洗映射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人工审核发布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D4验收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</w:tr>
      <w:tr>
        <w:trPr>
          <w:cantSplit/>
        </w:trPr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V0.1移交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A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I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C</w:t>
            </w:r>
          </w:p>
        </w:tc>
        <w:tc>
          <w:tcPr>
            <w:tcW w:type="dxa" w:w="117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</w:pPr>
      <w:r>
        <w:t>8. 日常执行机制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每日15分钟数据站会：昨日完成、今日批次、来源阻塞、质量问题和需要决策事项；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每周一冻结本周批次和对象目标；周五发布覆盖、质量和问题报告；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来源、字段、采集运行、质量问题和审核任务均用唯一编号；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P0问题即时升级，P1问题在1个工作日内确认责任人；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任何批次只能在原始包、清单、规则结果和审核记录完整后关闭；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进度以“已审核发布的有效记录”计算，不以下载文件数或脚本运行次数计算。</w:t>
      </w:r>
    </w:p>
    <w:p>
      <w:pPr>
        <w:pStyle w:val="Heading1"/>
      </w:pPr>
      <w:r>
        <w:t>9. D4量化验收</w:t>
      </w:r>
    </w:p>
    <w:p>
      <w:pPr>
        <w:pStyle w:val="Heading2"/>
      </w:pPr>
      <w:r>
        <w:t>9.1 100分评分表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2478"/>
        <w:gridCol w:w="2202"/>
        <w:gridCol w:w="4680"/>
      </w:tblGrid>
      <w:tr>
        <w:trPr>
          <w:tblHeader w:val="true"/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维度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权重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主要证据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标准与模板完整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字典、枚举、映射和模板批准记录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来源准入与合法使用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15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来源登记、条款/许可快照和复核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数据覆盖与完整性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国家、数据域、对象和核心字段覆盖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准确性与一致性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20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金标准、双人抽样、冲突和单位校验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可追溯性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15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发布字段到原始快照的证据链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时效性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发布、采集、复核和过期状态</w:t>
            </w:r>
          </w:p>
        </w:tc>
      </w:tr>
      <w:tr>
        <w:trPr>
          <w:cantSplit/>
        </w:trPr>
        <w:tc>
          <w:tcPr>
            <w:tcW w:type="dxa" w:w="247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可重放与可移交</w:t>
            </w:r>
          </w:p>
        </w:tc>
        <w:tc>
          <w:tcPr>
            <w:tcW w:type="dxa" w:w="2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10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原始包、清单、脚本/步骤和重建演练</w:t>
            </w:r>
          </w:p>
        </w:tc>
      </w:tr>
    </w:tbl>
    <w:p>
      <w:pPr>
        <w:spacing w:after="20"/>
      </w:pPr>
    </w:p>
    <w:p>
      <w:r>
        <w:rPr>
          <w:rFonts w:ascii="Noto Sans CJK SC" w:hAnsi="Noto Sans CJK SC" w:eastAsia="Noto Sans CJK SC"/>
          <w:b/>
          <w:color w:val="0B2545"/>
          <w:sz w:val="22"/>
        </w:rPr>
        <w:t>通过条件：</w:t>
      </w:r>
      <w:r>
        <w:rPr>
          <w:rFonts w:ascii="Noto Sans CJK SC" w:hAnsi="Noto Sans CJK SC" w:eastAsia="Noto Sans CJK SC"/>
          <w:color w:val="0B2545"/>
          <w:sz w:val="22"/>
        </w:rPr>
        <w:t xml:space="preserve"> 总分≥85；每个维度不低于该维度满分的70%；P0问题为0；印尼核心字段完整率≥90%；四个比较国≥70%；已发布关键事实100%可追溯；来源许可边界清楚；抽样准确率≥95%；重复有效记录率≤1%；D4签署完成。</w:t>
      </w:r>
    </w:p>
    <w:p>
      <w:pPr>
        <w:pStyle w:val="Heading2"/>
      </w:pPr>
      <w:r>
        <w:t>9.2 抽样规则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国家核心字段：印尼全量复核；比较国每国至少抽20个关键字段；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政策法规：印尼抽20条或全量较小者；每个比较国抽8条；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项目与招标：每国至少抽10条，覆盖不同阶段和核实状态；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伙伴：每国至少抽10家，检查主体去重和类型；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RAG文档：每国至少抽10份，检查权限、切分、引用和撤权；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高风险字段、冲突记录和人工合并记录100%复核。</w:t>
      </w:r>
    </w:p>
    <w:p>
      <w:pPr>
        <w:pStyle w:val="Heading1"/>
      </w:pPr>
      <w:r>
        <w:t>10. 质量停止条件</w:t>
      </w:r>
    </w:p>
    <w:p>
      <w:r>
        <w:rPr>
          <w:rFonts w:ascii="Noto Sans CJK SC" w:hAnsi="Noto Sans CJK SC" w:eastAsia="Noto Sans CJK SC"/>
          <w:color w:val="0B2545"/>
          <w:sz w:val="22"/>
        </w:rPr>
        <w:t>出现以下任一情况，应停止受影响来源、批次或发布：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来源条款、版权、隐私或访问许可不清；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采集需要绕过技术或账户限制；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关键字段无法追溯到原始证据；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模式漂移导致错误字段映射；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实体合并可能混淆不同主体；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恶意文件、敏感个人信息或跨企业数据进入处理链；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P0质量问题、批量错误翻译或单位换算错误；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同一问题连续两批发生且永久修复未验证。</w:t>
      </w:r>
    </w:p>
    <w:p>
      <w:r>
        <w:rPr>
          <w:rFonts w:ascii="Noto Sans CJK SC" w:hAnsi="Noto Sans CJK SC" w:eastAsia="Noto Sans CJK SC"/>
          <w:color w:val="0B2545"/>
          <w:sz w:val="22"/>
        </w:rPr>
        <w:t>停止不等同于删除。原始证据、运行日志、错误、影响范围和处置决定必须保留。</w:t>
      </w:r>
    </w:p>
    <w:p>
      <w:pPr>
        <w:pStyle w:val="Heading1"/>
      </w:pPr>
      <w:r>
        <w:t>11. 风险与应对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971"/>
        <w:gridCol w:w="3202"/>
        <w:gridCol w:w="4187"/>
      </w:tblGrid>
      <w:tr>
        <w:trPr>
          <w:tblHeader w:val="true"/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风险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早期信号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/>
                <w:color w:val="17365D"/>
                <w:sz w:val="17"/>
              </w:rPr>
              <w:t>应对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来源不稳定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频繁超时、路径变化、验证码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降频、人工复核、替代源、保留快照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许可不清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条款缺失或用途限制矛盾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保持待复核，不自动采集，不进入AI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多语言误译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关键术语前后不一致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术语库、源文并列、关键字段人工审校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实体误合并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同名主体、项目阶段冲突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保守匹配、人工预览、可撤销映射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数量挤压质量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下载量高但审核积压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以已审核发布计进度，限制在制品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过度设计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D0字段持续扩张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冻结核心字段集，新增项走变更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临时工具失控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出现生产账号或用户功能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架构评审、隔离环境、明确退役日期</w:t>
            </w:r>
          </w:p>
        </w:tc>
      </w:tr>
      <w:tr>
        <w:trPr>
          <w:cantSplit/>
        </w:trPr>
        <w:tc>
          <w:tcPr>
            <w:tcW w:type="dxa" w:w="197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D4被进度绕过</w:t>
            </w:r>
          </w:p>
        </w:tc>
        <w:tc>
          <w:tcPr>
            <w:tcW w:type="dxa" w:w="320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要求用Mock先开发</w:t>
            </w:r>
          </w:p>
        </w:tc>
        <w:tc>
          <w:tcPr>
            <w:tcW w:type="dxa" w:w="418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FFFFF"/>
          </w:tcPr>
          <w:p>
            <w:pPr>
              <w:spacing w:before="0" w:after="0" w:line="240" w:lineRule="auto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7"/>
              </w:rPr>
              <w:t>项目委员会书面变更；不得口头豁免</w:t>
            </w:r>
          </w:p>
        </w:tc>
      </w:tr>
    </w:tbl>
    <w:p>
      <w:pPr>
        <w:spacing w:after="20"/>
      </w:pPr>
    </w:p>
    <w:p>
      <w:pPr>
        <w:pStyle w:val="Heading1"/>
      </w:pPr>
      <w:r>
        <w:t>12. D4交付物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D0数据标准包：核心字段、实体、枚举、单位、命名和模板；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D1来源包：来源目录、许可/条款快照、准入决定和替代源；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D2原始数据包：五国原始文件、网页/API证据、清单、哈希和运行日志；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D3标准化数据包：映射、清洗、翻译、实体、去重和候选版本；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D4种子库：已审核发布数据、数据库导入包、版本和回滚说明；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数据质量报告：覆盖、准确、重复、时效、可追溯和问题关闭；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RAG候选资料包：可用于AI的发布文档、权限、切分和引用定位；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产品开发样本：国家详情、2—4国比较、政策、项目、招标、伙伴、搜索、评分和AI问答样本；</w:t>
      </w:r>
    </w:p>
    <w:p>
      <w:pPr>
        <w:numPr>
          <w:ilvl w:val="0"/>
          <w:numId w:val="13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验收与移交材料：D4评分表、证据索引、批准记录和V0.1交接清单。</w:t>
      </w:r>
    </w:p>
    <w:p>
      <w:pPr>
        <w:pStyle w:val="Heading1"/>
      </w:pPr>
      <w:r>
        <w:t>13. 向V0.1开发移交</w:t>
      </w:r>
    </w:p>
    <w:p>
      <w:r>
        <w:rPr>
          <w:rFonts w:ascii="Noto Sans CJK SC" w:hAnsi="Noto Sans CJK SC" w:eastAsia="Noto Sans CJK SC"/>
          <w:color w:val="0B2545"/>
          <w:sz w:val="22"/>
        </w:rPr>
        <w:t>D4通过后，数据团队向研发移交：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数据库种子包和迁移版本；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数据字典、枚举和JSON Schema；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只读查询视图或正式API契约样本；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关键页面的真实对象ID和测试账号范围；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搜索索引和RAG索引重建输入；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评分模型有效版本及金标准结果；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权限、来源、发布、过期和撤权样本；</w:t>
      </w:r>
    </w:p>
    <w:p>
      <w:pPr>
        <w:numPr>
          <w:ilvl w:val="0"/>
          <w:numId w:val="10"/>
        </w:numPr>
        <w:spacing w:after="80" w:line="300" w:lineRule="auto"/>
      </w:pPr>
      <w:r>
        <w:rPr>
          <w:rFonts w:ascii="Noto Sans CJK SC" w:hAnsi="Noto Sans CJK SC" w:eastAsia="Noto Sans CJK SC"/>
          <w:color w:val="0B2545"/>
          <w:sz w:val="22"/>
        </w:rPr>
        <w:t>已知限制、缺失域、质量问题和下一采集周期。</w:t>
      </w:r>
    </w:p>
    <w:p>
      <w:r>
        <w:rPr>
          <w:rFonts w:ascii="Noto Sans CJK SC" w:hAnsi="Noto Sans CJK SC" w:eastAsia="Noto Sans CJK SC"/>
          <w:color w:val="0B2545"/>
          <w:sz w:val="22"/>
        </w:rPr>
        <w:t>研发必须使用这些真实样本完成V0.1，不得重新创建与正式字段脱节的Mock模型。确需构造边界样本时，应标记</w:t>
      </w:r>
      <w:r>
        <w:rPr>
          <w:rFonts w:ascii="DejaVu Sans Mono" w:hAnsi="DejaVu Sans Mono" w:eastAsia="DejaVu Sans Mono"/>
          <w:color w:val="1F4E78"/>
          <w:sz w:val="18"/>
        </w:rPr>
        <w:t>synthetic=true</w:t>
      </w:r>
      <w:r>
        <w:rPr>
          <w:rFonts w:ascii="Noto Sans CJK SC" w:hAnsi="Noto Sans CJK SC" w:eastAsia="Noto Sans CJK SC"/>
          <w:color w:val="0B2545"/>
          <w:sz w:val="22"/>
        </w:rPr>
        <w:t>，只能用于测试，不得进入业务统计、对外展示或AI知识库。</w:t>
      </w:r>
    </w:p>
    <w:p>
      <w:pPr>
        <w:pStyle w:val="Heading1"/>
      </w:pPr>
      <w:r>
        <w:t>14. 启动清单</w:t>
      </w:r>
    </w:p>
    <w:p>
      <w:r>
        <w:rPr>
          <w:rFonts w:ascii="Noto Sans CJK SC" w:hAnsi="Noto Sans CJK SC" w:eastAsia="Noto Sans CJK SC"/>
          <w:color w:val="0B2545"/>
          <w:sz w:val="22"/>
        </w:rPr>
        <w:t>在执行第1天前确认：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数据负责人和D4批准人已明确；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五国范围和核心字段集已批准；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原始、处理中和发布环境已隔离；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来源登记、采集批次、原始文件、字段映射、审核和D4模板可用；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哈希、日志、备份、访问权限和审计已配置；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合规复核渠道和P0升级联系人已明确；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多语言审校资源和术语表已准备；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每周覆盖与质量报告时间已确定；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V0.1团队接受D4强制门禁；</w:t>
      </w:r>
    </w:p>
    <w:p>
      <w:pPr>
        <w:spacing w:after="80" w:line="300" w:lineRule="auto"/>
        <w:ind w:left="540" w:hanging="270"/>
      </w:pPr>
      <w:r>
        <w:rPr>
          <w:rFonts w:ascii="Noto Sans CJK SC" w:hAnsi="Noto Sans CJK SC" w:eastAsia="Noto Sans CJK SC"/>
          <w:color w:val="0B2545"/>
          <w:sz w:val="22"/>
        </w:rPr>
        <w:t>☐ 临时工具的范围、账号、环境和退役日期已登记。</w:t>
      </w:r>
    </w:p>
    <w:p>
      <w:pPr>
        <w:pStyle w:val="Heading1"/>
      </w:pPr>
      <w:r>
        <w:t>D4批准与V0.1启动签署</w:t>
      </w:r>
    </w:p>
    <w:p>
      <w:r>
        <w:rPr>
          <w:rFonts w:ascii="Noto Sans CJK SC" w:hAnsi="Noto Sans CJK SC" w:eastAsia="Noto Sans CJK SC"/>
          <w:color w:val="0B2545"/>
          <w:sz w:val="22"/>
        </w:rPr>
        <w:t>以下签署仅在《D4验收清单》全部硬门满足、证据索引可访问且总分达到要求后生效。</w:t>
      </w:r>
    </w:p>
    <w:tbl>
      <w:tblPr>
        <w:tblStyle w:val="TableGrid"/>
        <w:jc w:val="center"/>
        <w:tblLook w:firstColumn="1" w:firstRow="1" w:lastColumn="0" w:lastRow="0" w:noHBand="0" w:noVBand="1" w:val="04A0"/>
        <w:tblW w:w="9360" w:type="dxa"/>
        <w:tblInd w:w="120" w:type="dxa"/>
        <w:tblLayout w:type="fixed"/>
        <w:tblBorders>
          <w:top w:val="single" w:sz="4" w:space="0" w:color="B8C4D1"/>
          <w:left w:val="single" w:sz="4" w:space="0" w:color="B8C4D1"/>
          <w:bottom w:val="single" w:sz="4" w:space="0" w:color="B8C4D1"/>
          <w:right w:val="single" w:sz="4" w:space="0" w:color="B8C4D1"/>
          <w:insideH w:val="single" w:sz="4" w:space="0" w:color="B8C4D1"/>
          <w:insideV w:val="single" w:sz="4" w:space="0" w:color="B8C4D1"/>
        </w:tblBorders>
      </w:tblPr>
      <w:tblGrid>
        <w:gridCol w:w="1700"/>
        <w:gridCol w:w="2400"/>
        <w:gridCol w:w="3560"/>
        <w:gridCol w:w="1700"/>
      </w:tblGrid>
      <w:tr>
        <w:trPr>
          <w:cantSplit/>
        </w:trPr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角色</w:t>
            </w:r>
          </w:p>
        </w:tc>
        <w:tc>
          <w:tcPr>
            <w:tcW w:type="dxa" w:w="2400"/>
            <w:tcMar>
              <w:top w:w="140" w:type="dxa"/>
              <w:start w:w="120" w:type="dxa"/>
              <w:bottom w:w="14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姓名/签字</w:t>
            </w:r>
          </w:p>
        </w:tc>
        <w:tc>
          <w:tcPr>
            <w:tcW w:type="dxa" w:w="3560"/>
            <w:tcMar>
              <w:top w:w="140" w:type="dxa"/>
              <w:start w:w="120" w:type="dxa"/>
              <w:bottom w:w="14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结论</w:t>
            </w:r>
          </w:p>
        </w:tc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/>
                <w:color w:val="17365D"/>
                <w:sz w:val="18"/>
              </w:rPr>
              <w:t>日期</w:t>
            </w:r>
          </w:p>
        </w:tc>
      </w:tr>
      <w:tr>
        <w:trPr>
          <w:cantSplit/>
        </w:trPr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数据负责人</w:t>
            </w:r>
          </w:p>
        </w:tc>
        <w:tc>
          <w:tcPr>
            <w:tcW w:type="dxa" w:w="24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  <w:tc>
          <w:tcPr>
            <w:tcW w:type="dxa" w:w="356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通过 / 有条件通过 / 不通过</w:t>
            </w:r>
          </w:p>
        </w:tc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</w:tr>
      <w:tr>
        <w:trPr>
          <w:cantSplit/>
        </w:trPr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产品/业务负责人</w:t>
            </w:r>
          </w:p>
        </w:tc>
        <w:tc>
          <w:tcPr>
            <w:tcW w:type="dxa" w:w="24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  <w:tc>
          <w:tcPr>
            <w:tcW w:type="dxa" w:w="356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同意 / 不同意启动V0.1</w:t>
            </w:r>
          </w:p>
        </w:tc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</w:tr>
      <w:tr>
        <w:trPr>
          <w:cantSplit/>
        </w:trPr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项目批准人</w:t>
            </w:r>
          </w:p>
        </w:tc>
        <w:tc>
          <w:tcPr>
            <w:tcW w:type="dxa" w:w="24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  <w:tc>
          <w:tcPr>
            <w:tcW w:type="dxa" w:w="356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  <w:t>批准 / 暂缓</w:t>
            </w:r>
          </w:p>
        </w:tc>
        <w:tc>
          <w:tcPr>
            <w:tcW w:type="dxa" w:w="1700"/>
            <w:tcMar>
              <w:top w:w="140" w:type="dxa"/>
              <w:start w:w="120" w:type="dxa"/>
              <w:bottom w:w="140" w:type="dxa"/>
              <w:end w:w="120" w:type="dxa"/>
            </w:tcMar>
            <w:shd w:fill="FFFFFF"/>
          </w:tcPr>
          <w:p>
            <w:pPr>
              <w:spacing w:after="0"/>
            </w:pPr>
            <w:r>
              <w:rPr>
                <w:rFonts w:ascii="Noto Sans CJK SC" w:hAnsi="Noto Sans CJK SC" w:eastAsia="Noto Sans CJK SC"/>
                <w:b w:val="0"/>
                <w:color w:val="0B2545"/>
                <w:sz w:val="18"/>
              </w:rPr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CJK SC" w:hAnsi="Noto Sans CJK SC" w:eastAsia="Noto Sans CJK SC"/>
        <w:color w:val="5B6573"/>
        <w:sz w:val="17"/>
      </w:rPr>
      <w:t xml:space="preserve">V1.0-BASELINE  ·  第 </w:t>
      <w:fldChar w:fldCharType="begin"/>
      <w:instrText xml:space="preserve"> PAGE </w:instrText>
      <w:fldChar w:fldCharType="end"/>
    </w:r>
    <w:r>
      <w:rPr>
        <w:rFonts w:ascii="Noto Sans CJK SC" w:hAnsi="Noto Sans CJK SC" w:eastAsia="Noto Sans CJK SC"/>
        <w:color w:val="5B6573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oto Sans CJK SC" w:hAnsi="Noto Sans CJK SC" w:eastAsia="Noto Sans CJK SC"/>
        <w:b/>
        <w:color w:val="5B6573"/>
        <w:sz w:val="17"/>
      </w:rPr>
      <w:t>新能源企业出海导航仪｜首批数据采集实施方案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  <w:rPr>
        <w:rFonts w:ascii="Noto Sans CJK SC" w:hAnsi="Noto Sans CJK SC" w:eastAsia="Noto Sans CJK SC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Noto Sans CJK SC" w:hAnsi="Noto Sans CJK SC" w:eastAsia="Noto Sans CJK SC"/>
      </w:r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Noto Sans CJK SC" w:hAnsi="Noto Sans CJK SC" w:eastAsia="Noto Sans CJK SC"/>
      </w:r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  <w:rPr>
        <w:rFonts w:ascii="Noto Sans CJK SC" w:hAnsi="Noto Sans CJK SC" w:eastAsia="Noto Sans CJK SC"/>
      </w:r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Noto Sans CJK SC" w:hAnsi="Noto Sans CJK SC" w:eastAsia="Noto Sans CJK SC"/>
      <w:color w:val="0B254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新能源企业出海导航仪首批数据采集实施方案</dc:title>
  <dc:subject>五国D0—D4数据采集、质量验收与V0.1移交</dc:subject>
  <dc:creator>项目编制组</dc:creator>
  <cp:keywords/>
  <dc:description>设计预设：compact_reference_guide；首屏模板：customer_pack；命名覆盖：CJK_FONT_OVERRIDE=Noto Sans CJK SC；HEADER_METADATA_GRID=bordered operational metadata grid。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