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80" w:after="80"/>
      </w:pPr>
      <w:r>
        <w:rPr>
          <w:rFonts w:ascii="Noto Sans CJK SC" w:hAnsi="Noto Sans CJK SC" w:eastAsia="Noto Sans CJK SC"/>
          <w:b/>
          <w:color w:val="1F4E78"/>
          <w:sz w:val="20"/>
        </w:rPr>
        <w:t>DATA-FIRST DELIVERY PACK</w:t>
      </w:r>
    </w:p>
    <w:p>
      <w:pPr>
        <w:spacing w:after="160"/>
      </w:pPr>
      <w:r>
        <w:rPr>
          <w:rFonts w:ascii="Noto Sans CJK SC" w:hAnsi="Noto Sans CJK SC" w:eastAsia="Noto Sans CJK SC"/>
          <w:b/>
          <w:color w:val="17365D"/>
          <w:sz w:val="62"/>
        </w:rPr>
        <w:t>首批数据采集实施方案</w:t>
      </w:r>
    </w:p>
    <w:p>
      <w:pPr>
        <w:spacing w:after="440"/>
      </w:pPr>
      <w:r>
        <w:rPr>
          <w:rFonts w:ascii="Noto Sans CJK SC" w:hAnsi="Noto Sans CJK SC" w:eastAsia="Noto Sans CJK SC"/>
          <w:color w:val="5B6573"/>
          <w:sz w:val="27"/>
        </w:rPr>
        <w:t>以五国真实种子数据驱动后续产品开发</w:t>
      </w:r>
    </w:p>
    <w:tbl>
      <w:tblPr>
        <w:jc w:val="center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single" w:sz="4" w:space="0" w:color="D5DEE8"/>
          <w:insideV w:val="single" w:sz="4" w:space="0" w:color="D5DEE8"/>
        </w:tblBorders>
      </w:tblPr>
      <w:tblGrid>
        <w:gridCol w:w="1050"/>
        <w:gridCol w:w="3000"/>
        <w:gridCol w:w="1250"/>
        <w:gridCol w:w="4060"/>
      </w:tblGrid>
      <w:tr>
        <w:trPr>
          <w:cantSplit/>
        </w:trPr>
        <w:tc>
          <w:tcPr>
            <w:tcW w:type="dxa" w:w="1050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版本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8"/>
              </w:rPr>
              <w:t>V1.0-BASELINE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周期</w:t>
            </w:r>
          </w:p>
        </w:tc>
        <w:tc>
          <w:tcPr>
            <w:tcW w:type="dxa" w:w="4060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8"/>
              </w:rPr>
              <w:t>8周</w:t>
            </w:r>
          </w:p>
        </w:tc>
      </w:tr>
      <w:tr>
        <w:trPr>
          <w:cantSplit/>
        </w:trPr>
        <w:tc>
          <w:tcPr>
            <w:tcW w:type="dxa" w:w="1050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阶段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8"/>
              </w:rPr>
              <w:t>D0—D4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强制门禁</w:t>
            </w:r>
          </w:p>
        </w:tc>
        <w:tc>
          <w:tcPr>
            <w:tcW w:type="dxa" w:w="4060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8"/>
              </w:rPr>
              <w:t>D4通过后启动V0.1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4F6F9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9B1C1C"/>
                <w:sz w:val="21"/>
              </w:rPr>
              <w:t>强制门禁：D4数据就绪评审通过后，方可启动V0.1用户侧产品开发。</w:t>
            </w:r>
          </w:p>
        </w:tc>
      </w:tr>
    </w:tbl>
    <w:p>
      <w:pPr>
        <w:spacing w:before="280" w:after="0"/>
      </w:pPr>
      <w:r>
        <w:rPr>
          <w:rFonts w:ascii="Noto Sans CJK SC" w:hAnsi="Noto Sans CJK SC" w:eastAsia="Noto Sans CJK SC"/>
          <w:color w:val="5B6573"/>
          <w:sz w:val="19"/>
        </w:rPr>
        <w:t>编制日期：2026年7月24日　｜　审核完成：2026年7月30日　｜　D0已启动</w:t>
      </w:r>
    </w:p>
    <w:p>
      <w:r>
        <w:br w:type="page"/>
      </w:r>
    </w:p>
    <w:p>
      <w:pPr>
        <w:spacing w:before="80" w:after="80"/>
        <w:ind w:left="259" w:right="144"/>
        <w:shd w:fill="F4F6F9"/>
      </w:pPr>
      <w:r>
        <w:rPr>
          <w:rFonts w:ascii="Noto Sans CJK SC" w:hAnsi="Noto Sans CJK SC" w:eastAsia="Noto Sans CJK SC"/>
          <w:color w:val="0B2545"/>
          <w:sz w:val="22"/>
        </w:rPr>
        <w:t>版本：V1.0-BASELINE（文档审核已完成并冻结）</w:t>
      </w:r>
    </w:p>
    <w:p>
      <w:pPr>
        <w:spacing w:before="80" w:after="80"/>
        <w:ind w:left="259" w:right="144"/>
        <w:shd w:fill="F4F6F9"/>
      </w:pPr>
      <w:r>
        <w:rPr>
          <w:rFonts w:ascii="Noto Sans CJK SC" w:hAnsi="Noto Sans CJK SC" w:eastAsia="Noto Sans CJK SC"/>
          <w:color w:val="0B2545"/>
          <w:sz w:val="22"/>
        </w:rPr>
        <w:t>当前状态：D0数据标准冻结已启动，责任人签署待完成</w:t>
      </w:r>
    </w:p>
    <w:p>
      <w:pPr>
        <w:spacing w:before="80" w:after="80"/>
        <w:ind w:left="259" w:right="144"/>
        <w:shd w:fill="F4F6F9"/>
      </w:pPr>
      <w:r>
        <w:rPr>
          <w:rFonts w:ascii="Noto Sans CJK SC" w:hAnsi="Noto Sans CJK SC" w:eastAsia="Noto Sans CJK SC"/>
          <w:color w:val="0B2545"/>
          <w:sz w:val="22"/>
        </w:rPr>
        <w:t>执行阶段：D0—D4，计划周期8周</w:t>
      </w:r>
    </w:p>
    <w:p>
      <w:pPr>
        <w:spacing w:before="80" w:after="80"/>
        <w:ind w:left="259" w:right="144"/>
        <w:shd w:fill="F4F6F9"/>
      </w:pPr>
      <w:r>
        <w:rPr>
          <w:rFonts w:ascii="Noto Sans CJK SC" w:hAnsi="Noto Sans CJK SC" w:eastAsia="Noto Sans CJK SC"/>
          <w:color w:val="0B2545"/>
          <w:sz w:val="22"/>
        </w:rPr>
        <w:t>强制门禁：D4数据就绪评审通过后，方可启动V0.1用户侧产品开发</w:t>
      </w:r>
    </w:p>
    <w:p>
      <w:pPr>
        <w:pStyle w:val="Heading1"/>
      </w:pPr>
      <w:r>
        <w:t>1. 方案目的</w:t>
      </w:r>
    </w:p>
    <w:p>
      <w:r>
        <w:rPr>
          <w:rFonts w:ascii="Noto Sans CJK SC" w:hAnsi="Noto Sans CJK SC" w:eastAsia="Noto Sans CJK SC"/>
          <w:color w:val="0B2545"/>
          <w:sz w:val="22"/>
        </w:rPr>
        <w:t>本方案把“先收集数据，再进行开发”落实为可排期、可分工、可填报、可验收的首批数据工程。目标不是在开发前采集全世界所有数据，而是先冻结统一标准，建设一个完整样板国家和四个跨区域比较国家的真实种子库，用真实数据验证字段、页面、搜索、评分、AI引用和持续更新机制。</w:t>
      </w:r>
    </w:p>
    <w:p>
      <w:r>
        <w:rPr>
          <w:rFonts w:ascii="Noto Sans CJK SC" w:hAnsi="Noto Sans CJK SC" w:eastAsia="Noto Sans CJK SC"/>
          <w:color w:val="0B2545"/>
          <w:sz w:val="22"/>
        </w:rPr>
        <w:t>首批阶段只建设支撑来源登记、资料下载、清洗、审核和验收所需的临时工具。临时工具不得绕过来源许可、审核发布、企业权限或数据质量门禁，也不得自然演变为未经架构评审的生产平台。</w:t>
      </w:r>
    </w:p>
    <w:p>
      <w:pPr>
        <w:pStyle w:val="Heading1"/>
      </w:pPr>
      <w:r>
        <w:t>2. 首批国家范围</w:t>
      </w:r>
    </w:p>
    <w:p>
      <w:r>
        <w:rPr>
          <w:rFonts w:ascii="Noto Sans CJK SC" w:hAnsi="Noto Sans CJK SC" w:eastAsia="Noto Sans CJK SC"/>
          <w:color w:val="0B2545"/>
          <w:sz w:val="22"/>
        </w:rPr>
        <w:t>首批采用“1个完整样板＋4个标准比较样本”：</w:t>
      </w:r>
    </w:p>
    <w:tbl>
      <w:tblPr>
        <w:tblStyle w:val="TableGrid"/>
        <w:jc w:val="center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118"/>
        <w:gridCol w:w="1118"/>
        <w:gridCol w:w="3073"/>
        <w:gridCol w:w="2934"/>
        <w:gridCol w:w="1117"/>
      </w:tblGrid>
      <w:tr>
        <w:trPr>
          <w:tblHeader w:val="true"/>
          <w:cantSplit/>
        </w:trPr>
        <w:tc>
          <w:tcPr>
            <w:tcW w:type="dxa" w:w="11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国家</w:t>
            </w:r>
          </w:p>
        </w:tc>
        <w:tc>
          <w:tcPr>
            <w:tcW w:type="dxa" w:w="11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ISO</w:t>
            </w:r>
          </w:p>
        </w:tc>
        <w:tc>
          <w:tcPr>
            <w:tcW w:type="dxa" w:w="30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覆盖目标</w:t>
            </w:r>
          </w:p>
        </w:tc>
        <w:tc>
          <w:tcPr>
            <w:tcW w:type="dxa" w:w="29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选择目的</w:t>
            </w:r>
          </w:p>
        </w:tc>
        <w:tc>
          <w:tcPr>
            <w:tcW w:type="dxa" w:w="11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优先数据语言</w:t>
            </w:r>
          </w:p>
        </w:tc>
      </w:tr>
      <w:tr>
        <w:trPr>
          <w:cantSplit/>
        </w:trPr>
        <w:tc>
          <w:tcPr>
            <w:tcW w:type="dxa" w:w="11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印度尼西亚</w:t>
            </w:r>
          </w:p>
        </w:tc>
        <w:tc>
          <w:tcPr>
            <w:tcW w:type="dxa" w:w="11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IDN</w:t>
            </w:r>
          </w:p>
        </w:tc>
        <w:tc>
          <w:tcPr>
            <w:tcW w:type="dxa" w:w="30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Complete候选；核心字段完整率≥90%</w:t>
            </w:r>
          </w:p>
        </w:tc>
        <w:tc>
          <w:tcPr>
            <w:tcW w:type="dxa" w:w="29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已确定的首个样板国家；验证完整国家情报结构</w:t>
            </w:r>
          </w:p>
        </w:tc>
        <w:tc>
          <w:tcPr>
            <w:tcW w:type="dxa" w:w="11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印尼语、英语</w:t>
            </w:r>
          </w:p>
        </w:tc>
      </w:tr>
      <w:tr>
        <w:trPr>
          <w:cantSplit/>
        </w:trPr>
        <w:tc>
          <w:tcPr>
            <w:tcW w:type="dxa" w:w="11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越南</w:t>
            </w:r>
          </w:p>
        </w:tc>
        <w:tc>
          <w:tcPr>
            <w:tcW w:type="dxa" w:w="11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VNM</w:t>
            </w:r>
          </w:p>
        </w:tc>
        <w:tc>
          <w:tcPr>
            <w:tcW w:type="dxa" w:w="30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Standard种子；核心字段完整率≥70%</w:t>
            </w:r>
          </w:p>
        </w:tc>
        <w:tc>
          <w:tcPr>
            <w:tcW w:type="dxa" w:w="29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验证东南亚相邻市场、越南语资料和跨国对比</w:t>
            </w:r>
          </w:p>
        </w:tc>
        <w:tc>
          <w:tcPr>
            <w:tcW w:type="dxa" w:w="11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越南语、英语</w:t>
            </w:r>
          </w:p>
        </w:tc>
      </w:tr>
      <w:tr>
        <w:trPr>
          <w:cantSplit/>
        </w:trPr>
        <w:tc>
          <w:tcPr>
            <w:tcW w:type="dxa" w:w="11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沙特阿拉伯</w:t>
            </w:r>
          </w:p>
        </w:tc>
        <w:tc>
          <w:tcPr>
            <w:tcW w:type="dxa" w:w="11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SAU</w:t>
            </w:r>
          </w:p>
        </w:tc>
        <w:tc>
          <w:tcPr>
            <w:tcW w:type="dxa" w:w="30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Standard种子；核心字段完整率≥70%</w:t>
            </w:r>
          </w:p>
        </w:tc>
        <w:tc>
          <w:tcPr>
            <w:tcW w:type="dxa" w:w="29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验证海湾市场、集中采购和阿拉伯语资料</w:t>
            </w:r>
          </w:p>
        </w:tc>
        <w:tc>
          <w:tcPr>
            <w:tcW w:type="dxa" w:w="11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阿拉伯语、英语</w:t>
            </w:r>
          </w:p>
        </w:tc>
      </w:tr>
      <w:tr>
        <w:trPr>
          <w:cantSplit/>
        </w:trPr>
        <w:tc>
          <w:tcPr>
            <w:tcW w:type="dxa" w:w="11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南非</w:t>
            </w:r>
          </w:p>
        </w:tc>
        <w:tc>
          <w:tcPr>
            <w:tcW w:type="dxa" w:w="11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ZAF</w:t>
            </w:r>
          </w:p>
        </w:tc>
        <w:tc>
          <w:tcPr>
            <w:tcW w:type="dxa" w:w="30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Standard种子；核心字段完整率≥70%</w:t>
            </w:r>
          </w:p>
        </w:tc>
        <w:tc>
          <w:tcPr>
            <w:tcW w:type="dxa" w:w="29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验证非洲监管、电力与IPP采购数据</w:t>
            </w:r>
          </w:p>
        </w:tc>
        <w:tc>
          <w:tcPr>
            <w:tcW w:type="dxa" w:w="11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英语</w:t>
            </w:r>
          </w:p>
        </w:tc>
      </w:tr>
      <w:tr>
        <w:trPr>
          <w:cantSplit/>
        </w:trPr>
        <w:tc>
          <w:tcPr>
            <w:tcW w:type="dxa" w:w="11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巴西</w:t>
            </w:r>
          </w:p>
        </w:tc>
        <w:tc>
          <w:tcPr>
            <w:tcW w:type="dxa" w:w="11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BRA</w:t>
            </w:r>
          </w:p>
        </w:tc>
        <w:tc>
          <w:tcPr>
            <w:tcW w:type="dxa" w:w="30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Standard种子；核心字段完整率≥70%</w:t>
            </w:r>
          </w:p>
        </w:tc>
        <w:tc>
          <w:tcPr>
            <w:tcW w:type="dxa" w:w="29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验证拉美市场、葡萄牙语资料和大体量电力数据</w:t>
            </w:r>
          </w:p>
        </w:tc>
        <w:tc>
          <w:tcPr>
            <w:tcW w:type="dxa" w:w="11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葡萄牙语、英语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/>
          <w:color w:val="0B2545"/>
          <w:sz w:val="22"/>
        </w:rPr>
        <w:t>比较国入选是为了验证跨区域数据兼容性，不代表平台对市场吸引力作最终排名。若D1发现来源许可、获取稳定性或语言资源不足，可提交变更单替换比较国；印尼样板不得在无项目委员会批准的情况下替换。</w:t>
      </w:r>
    </w:p>
    <w:p>
      <w:pPr>
        <w:pStyle w:val="Heading1"/>
      </w:pPr>
      <w:r>
        <w:t>3. 首批数据域和最低样本目标</w:t>
      </w:r>
    </w:p>
    <w:p>
      <w:pPr>
        <w:pStyle w:val="Heading2"/>
      </w:pPr>
      <w:r>
        <w:t>3.1 数据域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Noto Sans CJK SC" w:hAnsi="Noto Sans CJK SC" w:eastAsia="Noto Sans CJK SC"/>
          <w:color w:val="0B2545"/>
          <w:sz w:val="22"/>
        </w:rPr>
        <w:t>国家画像：基本信息、宏观经济、营商环境、能源结构、电力市场、投资与准入；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Noto Sans CJK SC" w:hAnsi="Noto Sans CJK SC" w:eastAsia="Noto Sans CJK SC"/>
          <w:color w:val="0B2545"/>
          <w:sz w:val="22"/>
        </w:rPr>
        <w:t>政策法规：法律、行政法规、监管规则、规划、激励政策、技术和本地化要求；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Noto Sans CJK SC" w:hAnsi="Noto Sans CJK SC" w:eastAsia="Noto Sans CJK SC"/>
          <w:color w:val="0B2545"/>
          <w:sz w:val="22"/>
        </w:rPr>
        <w:t>市场与风险：装机、发电、需求、价格、并网、汇率、融资、主权、合规和供应链风险；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Noto Sans CJK SC" w:hAnsi="Noto Sans CJK SC" w:eastAsia="Noto Sans CJK SC"/>
          <w:color w:val="0B2545"/>
          <w:sz w:val="22"/>
        </w:rPr>
        <w:t>项目与招标：规划、开发、招标、授标、建设、投运和取消/争议状态；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Noto Sans CJK SC" w:hAnsi="Noto Sans CJK SC" w:eastAsia="Noto Sans CJK SC"/>
          <w:color w:val="0B2545"/>
          <w:sz w:val="22"/>
        </w:rPr>
        <w:t>企业与伙伴：政府机构、监管、电网、开发商、EPC、设备商、金融、律所、咨询和中资企业；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Noto Sans CJK SC" w:hAnsi="Noto Sans CJK SC" w:eastAsia="Noto Sans CJK SC"/>
          <w:color w:val="0B2545"/>
          <w:sz w:val="22"/>
        </w:rPr>
        <w:t>来源与证据：来源登记、条款快照、网页/PDF/表格原件、哈希、定位、采集与审核记录；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Noto Sans CJK SC" w:hAnsi="Noto Sans CJK SC" w:eastAsia="Noto Sans CJK SC"/>
          <w:color w:val="0B2545"/>
          <w:sz w:val="22"/>
        </w:rPr>
        <w:t>AI知识资料：仅将已批准、可用于AI且权限元数据完整的发布资料进入知识库候选区。</w:t>
      </w:r>
    </w:p>
    <w:p>
      <w:pPr>
        <w:pStyle w:val="Heading2"/>
      </w:pPr>
      <w:r>
        <w:t>3.2 最低开发样本</w:t>
      </w:r>
    </w:p>
    <w:p>
      <w:r>
        <w:rPr>
          <w:rFonts w:ascii="Noto Sans CJK SC" w:hAnsi="Noto Sans CJK SC" w:eastAsia="Noto Sans CJK SC"/>
          <w:color w:val="0B2545"/>
          <w:sz w:val="22"/>
        </w:rPr>
        <w:t>以下目标用于判断“是否足够驱动开发和测试”，不等同于市场数据穷尽：</w:t>
      </w:r>
    </w:p>
    <w:tbl>
      <w:tblPr>
        <w:tblStyle w:val="TableGrid"/>
        <w:jc w:val="center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145"/>
        <w:gridCol w:w="1755"/>
        <w:gridCol w:w="1755"/>
        <w:gridCol w:w="3705"/>
      </w:tblGrid>
      <w:tr>
        <w:trPr>
          <w:tblHeader w:val="true"/>
          <w:cantSplit/>
        </w:trPr>
        <w:tc>
          <w:tcPr>
            <w:tcW w:type="dxa" w:w="21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对象</w:t>
            </w:r>
          </w:p>
        </w:tc>
        <w:tc>
          <w:tcPr>
            <w:tcW w:type="dxa" w:w="17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印尼最低目标</w:t>
            </w:r>
          </w:p>
        </w:tc>
        <w:tc>
          <w:tcPr>
            <w:tcW w:type="dxa" w:w="17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每个比较国最低目标</w:t>
            </w:r>
          </w:p>
        </w:tc>
        <w:tc>
          <w:tcPr>
            <w:tcW w:type="dxa" w:w="37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质量要求</w:t>
            </w:r>
          </w:p>
        </w:tc>
      </w:tr>
      <w:tr>
        <w:trPr>
          <w:cantSplit/>
        </w:trPr>
        <w:tc>
          <w:tcPr>
            <w:tcW w:type="dxa" w:w="21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核心国家字段</w:t>
            </w:r>
          </w:p>
        </w:tc>
        <w:tc>
          <w:tcPr>
            <w:tcW w:type="dxa" w:w="17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D0字段集的90%</w:t>
            </w:r>
          </w:p>
        </w:tc>
        <w:tc>
          <w:tcPr>
            <w:tcW w:type="dxa" w:w="17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D0字段集的70%</w:t>
            </w:r>
          </w:p>
        </w:tc>
        <w:tc>
          <w:tcPr>
            <w:tcW w:type="dxa" w:w="37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关键字段100%有来源</w:t>
            </w:r>
          </w:p>
        </w:tc>
      </w:tr>
      <w:tr>
        <w:trPr>
          <w:cantSplit/>
        </w:trPr>
        <w:tc>
          <w:tcPr>
            <w:tcW w:type="dxa" w:w="21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已准入来源</w:t>
            </w:r>
          </w:p>
        </w:tc>
        <w:tc>
          <w:tcPr>
            <w:tcW w:type="dxa" w:w="17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20个</w:t>
            </w:r>
          </w:p>
        </w:tc>
        <w:tc>
          <w:tcPr>
            <w:tcW w:type="dxa" w:w="17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8个</w:t>
            </w:r>
          </w:p>
        </w:tc>
        <w:tc>
          <w:tcPr>
            <w:tcW w:type="dxa" w:w="37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A/B级来源占核心事实主要比例</w:t>
            </w:r>
          </w:p>
        </w:tc>
      </w:tr>
      <w:tr>
        <w:trPr>
          <w:cantSplit/>
        </w:trPr>
        <w:tc>
          <w:tcPr>
            <w:tcW w:type="dxa" w:w="21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政策/法规/规划</w:t>
            </w:r>
          </w:p>
        </w:tc>
        <w:tc>
          <w:tcPr>
            <w:tcW w:type="dxa" w:w="17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30条</w:t>
            </w:r>
          </w:p>
        </w:tc>
        <w:tc>
          <w:tcPr>
            <w:tcW w:type="dxa" w:w="17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12条</w:t>
            </w:r>
          </w:p>
        </w:tc>
        <w:tc>
          <w:tcPr>
            <w:tcW w:type="dxa" w:w="37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原文、发布日期、生效/失效和主题完整</w:t>
            </w:r>
          </w:p>
        </w:tc>
      </w:tr>
      <w:tr>
        <w:trPr>
          <w:cantSplit/>
        </w:trPr>
        <w:tc>
          <w:tcPr>
            <w:tcW w:type="dxa" w:w="21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市场指标时间序列</w:t>
            </w:r>
          </w:p>
        </w:tc>
        <w:tc>
          <w:tcPr>
            <w:tcW w:type="dxa" w:w="17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25组</w:t>
            </w:r>
          </w:p>
        </w:tc>
        <w:tc>
          <w:tcPr>
            <w:tcW w:type="dxa" w:w="17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12组</w:t>
            </w:r>
          </w:p>
        </w:tc>
        <w:tc>
          <w:tcPr>
            <w:tcW w:type="dxa" w:w="37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单位、周期、口径、币种和来源完整</w:t>
            </w:r>
          </w:p>
        </w:tc>
      </w:tr>
      <w:tr>
        <w:trPr>
          <w:cantSplit/>
        </w:trPr>
        <w:tc>
          <w:tcPr>
            <w:tcW w:type="dxa" w:w="21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风险事实/事件</w:t>
            </w:r>
          </w:p>
        </w:tc>
        <w:tc>
          <w:tcPr>
            <w:tcW w:type="dxa" w:w="17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20条</w:t>
            </w:r>
          </w:p>
        </w:tc>
        <w:tc>
          <w:tcPr>
            <w:tcW w:type="dxa" w:w="17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8条</w:t>
            </w:r>
          </w:p>
        </w:tc>
        <w:tc>
          <w:tcPr>
            <w:tcW w:type="dxa" w:w="37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事实、判断、等级和证据分层</w:t>
            </w:r>
          </w:p>
        </w:tc>
      </w:tr>
      <w:tr>
        <w:trPr>
          <w:cantSplit/>
        </w:trPr>
        <w:tc>
          <w:tcPr>
            <w:tcW w:type="dxa" w:w="21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项目机会</w:t>
            </w:r>
          </w:p>
        </w:tc>
        <w:tc>
          <w:tcPr>
            <w:tcW w:type="dxa" w:w="17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50条</w:t>
            </w:r>
          </w:p>
        </w:tc>
        <w:tc>
          <w:tcPr>
            <w:tcW w:type="dxa" w:w="17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20条</w:t>
            </w:r>
          </w:p>
        </w:tc>
        <w:tc>
          <w:tcPr>
            <w:tcW w:type="dxa" w:w="37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阶段、主体、容量/规模、地点、核实状态</w:t>
            </w:r>
          </w:p>
        </w:tc>
      </w:tr>
      <w:tr>
        <w:trPr>
          <w:cantSplit/>
        </w:trPr>
        <w:tc>
          <w:tcPr>
            <w:tcW w:type="dxa" w:w="21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招标/采购机会</w:t>
            </w:r>
          </w:p>
        </w:tc>
        <w:tc>
          <w:tcPr>
            <w:tcW w:type="dxa" w:w="17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20条</w:t>
            </w:r>
          </w:p>
        </w:tc>
        <w:tc>
          <w:tcPr>
            <w:tcW w:type="dxa" w:w="17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8条</w:t>
            </w:r>
          </w:p>
        </w:tc>
        <w:tc>
          <w:tcPr>
            <w:tcW w:type="dxa" w:w="37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截止日、采购方、文件、状态和来源</w:t>
            </w:r>
          </w:p>
        </w:tc>
      </w:tr>
      <w:tr>
        <w:trPr>
          <w:cantSplit/>
        </w:trPr>
        <w:tc>
          <w:tcPr>
            <w:tcW w:type="dxa" w:w="21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伙伴/服务资源</w:t>
            </w:r>
          </w:p>
        </w:tc>
        <w:tc>
          <w:tcPr>
            <w:tcW w:type="dxa" w:w="17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80家</w:t>
            </w:r>
          </w:p>
        </w:tc>
        <w:tc>
          <w:tcPr>
            <w:tcW w:type="dxa" w:w="17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30家</w:t>
            </w:r>
          </w:p>
        </w:tc>
        <w:tc>
          <w:tcPr>
            <w:tcW w:type="dxa" w:w="37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主体去重、类型、覆盖国和核实状态</w:t>
            </w:r>
          </w:p>
        </w:tc>
      </w:tr>
      <w:tr>
        <w:trPr>
          <w:cantSplit/>
        </w:trPr>
        <w:tc>
          <w:tcPr>
            <w:tcW w:type="dxa" w:w="21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可用于RAG的发布文档</w:t>
            </w:r>
          </w:p>
        </w:tc>
        <w:tc>
          <w:tcPr>
            <w:tcW w:type="dxa" w:w="17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60份</w:t>
            </w:r>
          </w:p>
        </w:tc>
        <w:tc>
          <w:tcPr>
            <w:tcW w:type="dxa" w:w="17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20份</w:t>
            </w:r>
          </w:p>
        </w:tc>
        <w:tc>
          <w:tcPr>
            <w:tcW w:type="dxa" w:w="37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权限、版本、引用定位和撤权规则完整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/>
          <w:color w:val="0B2545"/>
          <w:sz w:val="22"/>
        </w:rPr>
        <w:t>样本数量达标但关键事实不可追溯、重复严重或过期，仍视为不达标。数量不足但能证明某类公开信息客观不存在时，应使用</w:t>
      </w:r>
      <w:r>
        <w:rPr>
          <w:rFonts w:ascii="DejaVu Sans Mono" w:hAnsi="DejaVu Sans Mono" w:eastAsia="DejaVu Sans Mono"/>
          <w:color w:val="1F4E78"/>
          <w:sz w:val="18"/>
        </w:rPr>
        <w:t>value_status</w:t>
      </w:r>
      <w:r>
        <w:rPr>
          <w:rFonts w:ascii="Noto Sans CJK SC" w:hAnsi="Noto Sans CJK SC" w:eastAsia="Noto Sans CJK SC"/>
          <w:color w:val="0B2545"/>
          <w:sz w:val="22"/>
        </w:rPr>
        <w:t>和依据记录，不得伪造或用0填充。</w:t>
      </w:r>
    </w:p>
    <w:p>
      <w:pPr>
        <w:pStyle w:val="Heading1"/>
      </w:pPr>
      <w:r>
        <w:t>4. D0—D4阶段计划</w:t>
      </w:r>
    </w:p>
    <w:p>
      <w:pPr>
        <w:pStyle w:val="Heading2"/>
      </w:pPr>
      <w:r>
        <w:t>4.1 八周总计划</w:t>
      </w:r>
    </w:p>
    <w:tbl>
      <w:tblPr>
        <w:tblStyle w:val="TableGrid"/>
        <w:jc w:val="center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019"/>
        <w:gridCol w:w="1468"/>
        <w:gridCol w:w="3671"/>
        <w:gridCol w:w="2202"/>
      </w:tblGrid>
      <w:tr>
        <w:trPr>
          <w:tblHeader w:val="true"/>
          <w:cantSplit/>
        </w:trPr>
        <w:tc>
          <w:tcPr>
            <w:tcW w:type="dxa" w:w="20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阶段</w:t>
            </w:r>
          </w:p>
        </w:tc>
        <w:tc>
          <w:tcPr>
            <w:tcW w:type="dxa" w:w="14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周期</w:t>
            </w:r>
          </w:p>
        </w:tc>
        <w:tc>
          <w:tcPr>
            <w:tcW w:type="dxa" w:w="36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核心工作</w:t>
            </w:r>
          </w:p>
        </w:tc>
        <w:tc>
          <w:tcPr>
            <w:tcW w:type="dxa" w:w="22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退出条件</w:t>
            </w:r>
          </w:p>
        </w:tc>
      </w:tr>
      <w:tr>
        <w:trPr>
          <w:cantSplit/>
        </w:trPr>
        <w:tc>
          <w:tcPr>
            <w:tcW w:type="dxa" w:w="20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D0 数据标准冻结</w:t>
            </w:r>
          </w:p>
        </w:tc>
        <w:tc>
          <w:tcPr>
            <w:tcW w:type="dxa" w:w="14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第1周</w:t>
            </w:r>
          </w:p>
        </w:tc>
        <w:tc>
          <w:tcPr>
            <w:tcW w:type="dxa" w:w="36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冻结实体、字段、枚举、命名、文件和证据链</w:t>
            </w:r>
          </w:p>
        </w:tc>
        <w:tc>
          <w:tcPr>
            <w:tcW w:type="dxa" w:w="22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核心字段集和模板批准</w:t>
            </w:r>
          </w:p>
        </w:tc>
      </w:tr>
      <w:tr>
        <w:trPr>
          <w:cantSplit/>
        </w:trPr>
        <w:tc>
          <w:tcPr>
            <w:tcW w:type="dxa" w:w="20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D1 数据源建档</w:t>
            </w:r>
          </w:p>
        </w:tc>
        <w:tc>
          <w:tcPr>
            <w:tcW w:type="dxa" w:w="14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第1—2周</w:t>
            </w:r>
          </w:p>
        </w:tc>
        <w:tc>
          <w:tcPr>
            <w:tcW w:type="dxa" w:w="36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发现、分级、条款快照、许可和替代源</w:t>
            </w:r>
          </w:p>
        </w:tc>
        <w:tc>
          <w:tcPr>
            <w:tcW w:type="dxa" w:w="22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核心域有优先源和备选源</w:t>
            </w:r>
          </w:p>
        </w:tc>
      </w:tr>
      <w:tr>
        <w:trPr>
          <w:cantSplit/>
        </w:trPr>
        <w:tc>
          <w:tcPr>
            <w:tcW w:type="dxa" w:w="20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D2 原始数据采集</w:t>
            </w:r>
          </w:p>
        </w:tc>
        <w:tc>
          <w:tcPr>
            <w:tcW w:type="dxa" w:w="14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第2—5周</w:t>
            </w:r>
          </w:p>
        </w:tc>
        <w:tc>
          <w:tcPr>
            <w:tcW w:type="dxa" w:w="36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API、网页、PDF、表格和人工资料采集</w:t>
            </w:r>
          </w:p>
        </w:tc>
        <w:tc>
          <w:tcPr>
            <w:tcW w:type="dxa" w:w="22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原始包、日志和哈希完整</w:t>
            </w:r>
          </w:p>
        </w:tc>
      </w:tr>
      <w:tr>
        <w:trPr>
          <w:cantSplit/>
        </w:trPr>
        <w:tc>
          <w:tcPr>
            <w:tcW w:type="dxa" w:w="20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D3 清洗结构化</w:t>
            </w:r>
          </w:p>
        </w:tc>
        <w:tc>
          <w:tcPr>
            <w:tcW w:type="dxa" w:w="14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第3—6周</w:t>
            </w:r>
          </w:p>
        </w:tc>
        <w:tc>
          <w:tcPr>
            <w:tcW w:type="dxa" w:w="36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解析、翻译、映射、去重、实体对齐和版本化</w:t>
            </w:r>
          </w:p>
        </w:tc>
        <w:tc>
          <w:tcPr>
            <w:tcW w:type="dxa" w:w="22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标准化候选数据形成</w:t>
            </w:r>
          </w:p>
        </w:tc>
      </w:tr>
      <w:tr>
        <w:trPr>
          <w:cantSplit/>
        </w:trPr>
        <w:tc>
          <w:tcPr>
            <w:tcW w:type="dxa" w:w="20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D4 审核与种子库验收</w:t>
            </w:r>
          </w:p>
        </w:tc>
        <w:tc>
          <w:tcPr>
            <w:tcW w:type="dxa" w:w="14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第6—8周</w:t>
            </w:r>
          </w:p>
        </w:tc>
        <w:tc>
          <w:tcPr>
            <w:tcW w:type="dxa" w:w="36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规则校验、人工复核、发布、抽样和评分</w:t>
            </w:r>
          </w:p>
        </w:tc>
        <w:tc>
          <w:tcPr>
            <w:tcW w:type="dxa" w:w="22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D4总分≥85且硬门通过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/>
          <w:color w:val="0B2545"/>
          <w:sz w:val="22"/>
        </w:rPr>
        <w:t>D1—D3允许受控重叠，但某个来源未完成准入前，不得进入自动批量采集；某条记录未完成质量和审核前，不得进入正式发布区或AI知识库。</w:t>
      </w:r>
    </w:p>
    <w:p>
      <w:pPr>
        <w:pStyle w:val="Heading2"/>
      </w:pPr>
      <w:r>
        <w:t>4.2 D0 数据标准冻结</w:t>
      </w:r>
    </w:p>
    <w:p>
      <w:r>
        <w:rPr>
          <w:rFonts w:ascii="Noto Sans CJK SC" w:hAnsi="Noto Sans CJK SC" w:eastAsia="Noto Sans CJK SC"/>
          <w:b/>
          <w:color w:val="0B2545"/>
          <w:sz w:val="22"/>
        </w:rPr>
        <w:t>任务：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CJK SC" w:hAnsi="Noto Sans CJK SC" w:eastAsia="Noto Sans CJK SC"/>
          <w:color w:val="0B2545"/>
          <w:sz w:val="22"/>
        </w:rPr>
        <w:t>从现有数据字典中确定</w:t>
      </w:r>
      <w:r>
        <w:rPr>
          <w:rFonts w:ascii="DejaVu Sans Mono" w:hAnsi="DejaVu Sans Mono" w:eastAsia="DejaVu Sans Mono"/>
          <w:color w:val="1F4E78"/>
          <w:sz w:val="18"/>
        </w:rPr>
        <w:t>country_core_field_set_v1</w:t>
      </w:r>
      <w:r>
        <w:rPr>
          <w:rFonts w:ascii="Noto Sans CJK SC" w:hAnsi="Noto Sans CJK SC" w:eastAsia="Noto Sans CJK SC"/>
          <w:color w:val="0B2545"/>
          <w:sz w:val="22"/>
        </w:rPr>
        <w:t>；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CJK SC" w:hAnsi="Noto Sans CJK SC" w:eastAsia="Noto Sans CJK SC"/>
          <w:color w:val="0B2545"/>
          <w:sz w:val="22"/>
        </w:rPr>
        <w:t>冻结国家、政策、风险、项目、招标、伙伴和来源的必填字段；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CJK SC" w:hAnsi="Noto Sans CJK SC" w:eastAsia="Noto Sans CJK SC"/>
          <w:color w:val="0B2545"/>
          <w:sz w:val="22"/>
        </w:rPr>
        <w:t>冻结风险、核实、发布、质量、时效和值状态枚举；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CJK SC" w:hAnsi="Noto Sans CJK SC" w:eastAsia="Noto Sans CJK SC"/>
          <w:color w:val="0B2545"/>
          <w:sz w:val="22"/>
        </w:rPr>
        <w:t>冻结货币、单位、时区、日期和多语言规则；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CJK SC" w:hAnsi="Noto Sans CJK SC" w:eastAsia="Noto Sans CJK SC"/>
          <w:color w:val="0B2545"/>
          <w:sz w:val="22"/>
        </w:rPr>
        <w:t>建立原始文件命名、目录、哈希和元数据模板；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CJK SC" w:hAnsi="Noto Sans CJK SC" w:eastAsia="Noto Sans CJK SC"/>
          <w:color w:val="0B2545"/>
          <w:sz w:val="22"/>
        </w:rPr>
        <w:t>建立字段映射、数据审核和D4验收模板；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CJK SC" w:hAnsi="Noto Sans CJK SC" w:eastAsia="Noto Sans CJK SC"/>
          <w:color w:val="0B2545"/>
          <w:sz w:val="22"/>
        </w:rPr>
        <w:t>选择每类实体3—5个金标准样本，作为后续映射和测试基准。</w:t>
      </w:r>
    </w:p>
    <w:p>
      <w:r>
        <w:rPr>
          <w:rFonts w:ascii="Noto Sans CJK SC" w:hAnsi="Noto Sans CJK SC" w:eastAsia="Noto Sans CJK SC"/>
          <w:b/>
          <w:color w:val="0B2545"/>
          <w:sz w:val="22"/>
        </w:rPr>
        <w:t>退出物：</w:t>
      </w:r>
      <w:r>
        <w:rPr>
          <w:rFonts w:ascii="Noto Sans CJK SC" w:hAnsi="Noto Sans CJK SC" w:eastAsia="Noto Sans CJK SC"/>
          <w:color w:val="0B2545"/>
          <w:sz w:val="22"/>
        </w:rPr>
        <w:t xml:space="preserve"> D0批准记录、核心字段集、枚举、导入模板、来源模板、证据链模板、文件规范和金标准样本。</w:t>
      </w:r>
    </w:p>
    <w:p>
      <w:pPr>
        <w:pStyle w:val="Heading2"/>
      </w:pPr>
      <w:r>
        <w:t>4.3 D1 数据源建档</w:t>
      </w:r>
    </w:p>
    <w:p>
      <w:r>
        <w:rPr>
          <w:rFonts w:ascii="Noto Sans CJK SC" w:hAnsi="Noto Sans CJK SC" w:eastAsia="Noto Sans CJK SC"/>
          <w:b/>
          <w:color w:val="0B2545"/>
          <w:sz w:val="22"/>
        </w:rPr>
        <w:t>准入步骤：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Noto Sans CJK SC" w:hAnsi="Noto Sans CJK SC" w:eastAsia="Noto Sans CJK SC"/>
          <w:color w:val="0B2545"/>
          <w:sz w:val="22"/>
        </w:rPr>
        <w:t>登记机构、入口、国家、数据域和内容类型；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Noto Sans CJK SC" w:hAnsi="Noto Sans CJK SC" w:eastAsia="Noto Sans CJK SC"/>
          <w:color w:val="0B2545"/>
          <w:sz w:val="22"/>
        </w:rPr>
        <w:t>判断A—E权威等级和是否为原始发布者；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Noto Sans CJK SC" w:hAnsi="Noto Sans CJK SC" w:eastAsia="Noto Sans CJK SC"/>
          <w:color w:val="0B2545"/>
          <w:sz w:val="22"/>
        </w:rPr>
        <w:t>保存使用条款、版权/许可、robots/访问规则和复核日期；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Noto Sans CJK SC" w:hAnsi="Noto Sans CJK SC" w:eastAsia="Noto Sans CJK SC"/>
          <w:color w:val="0B2545"/>
          <w:sz w:val="22"/>
        </w:rPr>
        <w:t>记录API、下载、人工浏览或授权文件等允许方式；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Noto Sans CJK SC" w:hAnsi="Noto Sans CJK SC" w:eastAsia="Noto Sans CJK SC"/>
          <w:color w:val="0B2545"/>
          <w:sz w:val="22"/>
        </w:rPr>
        <w:t>明确缓存、原文保存、再分发、翻译和AI索引边界；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Noto Sans CJK SC" w:hAnsi="Noto Sans CJK SC" w:eastAsia="Noto Sans CJK SC"/>
          <w:color w:val="0B2545"/>
          <w:sz w:val="22"/>
        </w:rPr>
        <w:t>进行样本获取，验证字段覆盖、稳定性和可定位性；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Noto Sans CJK SC" w:hAnsi="Noto Sans CJK SC" w:eastAsia="Noto Sans CJK SC"/>
          <w:color w:val="0B2545"/>
          <w:sz w:val="22"/>
        </w:rPr>
        <w:t>数据与合规审核后转</w:t>
      </w:r>
      <w:r>
        <w:rPr>
          <w:rFonts w:ascii="DejaVu Sans Mono" w:hAnsi="DejaVu Sans Mono" w:eastAsia="DejaVu Sans Mono"/>
          <w:color w:val="1F4E78"/>
          <w:sz w:val="18"/>
        </w:rPr>
        <w:t>active</w:t>
      </w:r>
      <w:r>
        <w:rPr>
          <w:rFonts w:ascii="Noto Sans CJK SC" w:hAnsi="Noto Sans CJK SC" w:eastAsia="Noto Sans CJK SC"/>
          <w:color w:val="0B2545"/>
          <w:sz w:val="22"/>
        </w:rPr>
        <w:t>，否则保持</w:t>
      </w:r>
      <w:r>
        <w:rPr>
          <w:rFonts w:ascii="DejaVu Sans Mono" w:hAnsi="DejaVu Sans Mono" w:eastAsia="DejaVu Sans Mono"/>
          <w:color w:val="1F4E78"/>
          <w:sz w:val="18"/>
        </w:rPr>
        <w:t>under_review</w:t>
      </w:r>
      <w:r>
        <w:rPr>
          <w:rFonts w:ascii="Noto Sans CJK SC" w:hAnsi="Noto Sans CJK SC" w:eastAsia="Noto Sans CJK SC"/>
          <w:color w:val="0B2545"/>
          <w:sz w:val="22"/>
        </w:rPr>
        <w:t>或</w:t>
      </w:r>
      <w:r>
        <w:rPr>
          <w:rFonts w:ascii="DejaVu Sans Mono" w:hAnsi="DejaVu Sans Mono" w:eastAsia="DejaVu Sans Mono"/>
          <w:color w:val="1F4E78"/>
          <w:sz w:val="18"/>
        </w:rPr>
        <w:t>blocked</w:t>
      </w:r>
      <w:r>
        <w:rPr>
          <w:rFonts w:ascii="Noto Sans CJK SC" w:hAnsi="Noto Sans CJK SC" w:eastAsia="Noto Sans CJK SC"/>
          <w:color w:val="0B2545"/>
          <w:sz w:val="22"/>
        </w:rPr>
        <w:t>；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Noto Sans CJK SC" w:hAnsi="Noto Sans CJK SC" w:eastAsia="Noto Sans CJK SC"/>
          <w:color w:val="0B2545"/>
          <w:sz w:val="22"/>
        </w:rPr>
        <w:t>为每个关键域登记至少一个替代来源。</w:t>
      </w:r>
    </w:p>
    <w:p>
      <w:pPr>
        <w:pStyle w:val="Heading2"/>
      </w:pPr>
      <w:r>
        <w:t>4.4 D2 原始数据采集</w:t>
      </w:r>
    </w:p>
    <w:p>
      <w:r>
        <w:rPr>
          <w:rFonts w:ascii="Noto Sans CJK SC" w:hAnsi="Noto Sans CJK SC" w:eastAsia="Noto Sans CJK SC"/>
          <w:color w:val="0B2545"/>
          <w:sz w:val="22"/>
        </w:rPr>
        <w:t>原始层只增不改。每次采集至少保存任务、运行、请求范围、响应/文件、采集时间、内容类型、状态码、哈希、来源版本和错误。网页需保存足以复现关键事实的快照或结构化证据；PDF和表格保存原文件；API保存请求参数、分页和水位。</w:t>
      </w:r>
    </w:p>
    <w:p>
      <w:r>
        <w:rPr>
          <w:rFonts w:ascii="Noto Sans CJK SC" w:hAnsi="Noto Sans CJK SC" w:eastAsia="Noto Sans CJK SC"/>
          <w:b/>
          <w:color w:val="0B2545"/>
          <w:sz w:val="22"/>
        </w:rPr>
        <w:t>禁止事项：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CJK SC" w:hAnsi="Noto Sans CJK SC" w:eastAsia="Noto Sans CJK SC"/>
          <w:color w:val="0B2545"/>
          <w:sz w:val="22"/>
        </w:rPr>
        <w:t>绕过登录、验证码、付费墙、访问控制或明确禁止的技术措施；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CJK SC" w:hAnsi="Noto Sans CJK SC" w:eastAsia="Noto Sans CJK SC"/>
          <w:color w:val="0B2545"/>
          <w:sz w:val="22"/>
        </w:rPr>
        <w:t>将公开展示误解为可批量复制、再分发或用于模型训练；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CJK SC" w:hAnsi="Noto Sans CJK SC" w:eastAsia="Noto Sans CJK SC"/>
          <w:color w:val="0B2545"/>
          <w:sz w:val="22"/>
        </w:rPr>
        <w:t>覆盖原始文件、删除失败记录或修改历史响应；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CJK SC" w:hAnsi="Noto Sans CJK SC" w:eastAsia="Noto Sans CJK SC"/>
          <w:color w:val="0B2545"/>
          <w:sz w:val="22"/>
        </w:rPr>
        <w:t>采集无关个人信息、敏感联系方式或超出目的范围的数据；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CJK SC" w:hAnsi="Noto Sans CJK SC" w:eastAsia="Noto Sans CJK SC"/>
          <w:color w:val="0B2545"/>
          <w:sz w:val="22"/>
        </w:rPr>
        <w:t>用人工复制掩盖自动化失败而不记录来源和操作者。</w:t>
      </w:r>
    </w:p>
    <w:p>
      <w:pPr>
        <w:pStyle w:val="Heading2"/>
      </w:pPr>
      <w:r>
        <w:t>4.5 D3 清洗结构化</w:t>
      </w:r>
    </w:p>
    <w:p>
      <w:r>
        <w:rPr>
          <w:rFonts w:ascii="Noto Sans CJK SC" w:hAnsi="Noto Sans CJK SC" w:eastAsia="Noto Sans CJK SC"/>
          <w:color w:val="0B2545"/>
          <w:sz w:val="22"/>
        </w:rPr>
        <w:t>处理链路为：文件扫描→格式识别→文本/表格提取→语言识别→字段映射→单位币种标准化→实体解析→去重→翻译→质量规则→人工待办→候选版本。</w:t>
      </w:r>
    </w:p>
    <w:p>
      <w:r>
        <w:rPr>
          <w:rFonts w:ascii="Noto Sans CJK SC" w:hAnsi="Noto Sans CJK SC" w:eastAsia="Noto Sans CJK SC"/>
          <w:b/>
          <w:color w:val="0B2545"/>
          <w:sz w:val="22"/>
        </w:rPr>
        <w:t>关键要求：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CJK SC" w:hAnsi="Noto Sans CJK SC" w:eastAsia="Noto Sans CJK SC"/>
          <w:color w:val="0B2545"/>
          <w:sz w:val="22"/>
        </w:rPr>
        <w:t>源文、译文和结构化值分别保存，并以源哈希绑定；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CJK SC" w:hAnsi="Noto Sans CJK SC" w:eastAsia="Noto Sans CJK SC"/>
          <w:color w:val="0B2545"/>
          <w:sz w:val="22"/>
        </w:rPr>
        <w:t>金额同时保存原币、币种、换算值、汇率日和来源；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CJK SC" w:hAnsi="Noto Sans CJK SC" w:eastAsia="Noto Sans CJK SC"/>
          <w:color w:val="0B2545"/>
          <w:sz w:val="22"/>
        </w:rPr>
        <w:t>容量、发电量、面积等统一单位，同时保留原单位和原值；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CJK SC" w:hAnsi="Noto Sans CJK SC" w:eastAsia="Noto Sans CJK SC"/>
          <w:color w:val="0B2545"/>
          <w:sz w:val="22"/>
        </w:rPr>
        <w:t>同名项目或企业只在证据充分时合并，模糊合并必须人工确认且可撤销；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CJK SC" w:hAnsi="Noto Sans CJK SC" w:eastAsia="Noto Sans CJK SC"/>
          <w:color w:val="0B2545"/>
          <w:sz w:val="22"/>
        </w:rPr>
        <w:t>同一通讯稿的多站转载识别为同一来源族，不虚增独立来源数；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CJK SC" w:hAnsi="Noto Sans CJK SC" w:eastAsia="Noto Sans CJK SC"/>
          <w:color w:val="0B2545"/>
          <w:sz w:val="22"/>
        </w:rPr>
        <w:t>项目通用事实和企业个性化评价分开存储；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CJK SC" w:hAnsi="Noto Sans CJK SC" w:eastAsia="Noto Sans CJK SC"/>
          <w:color w:val="0B2545"/>
          <w:sz w:val="22"/>
        </w:rPr>
        <w:t>对冲突来源保留双方证据并转人工复核，不覆盖成单一值。</w:t>
      </w:r>
    </w:p>
    <w:p>
      <w:pPr>
        <w:pStyle w:val="Heading2"/>
      </w:pPr>
      <w:r>
        <w:t>4.6 D4 审核与种子库验收</w:t>
      </w:r>
    </w:p>
    <w:p>
      <w:r>
        <w:rPr>
          <w:rFonts w:ascii="Noto Sans CJK SC" w:hAnsi="Noto Sans CJK SC" w:eastAsia="Noto Sans CJK SC"/>
          <w:color w:val="0B2545"/>
          <w:sz w:val="22"/>
        </w:rPr>
        <w:t>D4按对象审核和项目总评两层执行。对象审核检查字段、来源、定位、核实、时效、权限和发布；项目总评检查覆盖、准确、可追溯、重复、可重放和交付完整性。</w:t>
      </w:r>
    </w:p>
    <w:p>
      <w:pPr>
        <w:pStyle w:val="Heading1"/>
      </w:pPr>
      <w:r>
        <w:t>5. 首批官方来源锚点</w:t>
      </w:r>
    </w:p>
    <w:p>
      <w:r>
        <w:rPr>
          <w:rFonts w:ascii="Noto Sans CJK SC" w:hAnsi="Noto Sans CJK SC" w:eastAsia="Noto Sans CJK SC"/>
          <w:color w:val="0B2545"/>
          <w:sz w:val="22"/>
        </w:rPr>
        <w:t>下表是D1的起始候选，不代表自动准入；执行时仍需保存当日条款、访问和许可快照。</w:t>
      </w:r>
    </w:p>
    <w:p>
      <w:pPr>
        <w:pStyle w:val="Heading2"/>
      </w:pPr>
      <w:r>
        <w:t>5.1 跨国标准来源</w:t>
      </w:r>
    </w:p>
    <w:tbl>
      <w:tblPr>
        <w:tblStyle w:val="TableGrid"/>
        <w:jc w:val="center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127"/>
        <w:gridCol w:w="1844"/>
        <w:gridCol w:w="4255"/>
        <w:gridCol w:w="1134"/>
      </w:tblGrid>
      <w:tr>
        <w:trPr>
          <w:tblHeader w:val="true"/>
          <w:cantSplit/>
        </w:trPr>
        <w:tc>
          <w:tcPr>
            <w:tcW w:type="dxa" w:w="21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来源</w:t>
            </w:r>
          </w:p>
        </w:tc>
        <w:tc>
          <w:tcPr>
            <w:tcW w:type="dxa" w:w="18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主要数据</w:t>
            </w:r>
          </w:p>
        </w:tc>
        <w:tc>
          <w:tcPr>
            <w:tcW w:type="dxa" w:w="42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起始入口</w:t>
            </w:r>
          </w:p>
        </w:tc>
        <w:tc>
          <w:tcPr>
            <w:tcW w:type="dxa" w:w="11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预期等级</w:t>
            </w:r>
          </w:p>
        </w:tc>
      </w:tr>
      <w:tr>
        <w:trPr>
          <w:cantSplit/>
        </w:trPr>
        <w:tc>
          <w:tcPr>
            <w:tcW w:type="dxa" w:w="21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世界银行数据</w:t>
            </w:r>
          </w:p>
        </w:tc>
        <w:tc>
          <w:tcPr>
            <w:tcW w:type="dxa" w:w="18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宏观、人口、经济和发展指标</w:t>
            </w:r>
          </w:p>
        </w:tc>
        <w:tc>
          <w:tcPr>
            <w:tcW w:type="dxa" w:w="42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https://data.worldbank.org/</w:t>
            </w:r>
          </w:p>
        </w:tc>
        <w:tc>
          <w:tcPr>
            <w:tcW w:type="dxa" w:w="11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B</w:t>
            </w:r>
          </w:p>
        </w:tc>
      </w:tr>
      <w:tr>
        <w:trPr>
          <w:cantSplit/>
        </w:trPr>
        <w:tc>
          <w:tcPr>
            <w:tcW w:type="dxa" w:w="21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世界银行项目</w:t>
            </w:r>
          </w:p>
        </w:tc>
        <w:tc>
          <w:tcPr>
            <w:tcW w:type="dxa" w:w="18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项目、融资和采购线索</w:t>
            </w:r>
          </w:p>
        </w:tc>
        <w:tc>
          <w:tcPr>
            <w:tcW w:type="dxa" w:w="42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https://projects.worldbank.org/</w:t>
            </w:r>
          </w:p>
        </w:tc>
        <w:tc>
          <w:tcPr>
            <w:tcW w:type="dxa" w:w="11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B</w:t>
            </w:r>
          </w:p>
        </w:tc>
      </w:tr>
      <w:tr>
        <w:trPr>
          <w:cantSplit/>
        </w:trPr>
        <w:tc>
          <w:tcPr>
            <w:tcW w:type="dxa" w:w="21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IRENA数据</w:t>
            </w:r>
          </w:p>
        </w:tc>
        <w:tc>
          <w:tcPr>
            <w:tcW w:type="dxa" w:w="18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可再生能源装机、发电和平衡</w:t>
            </w:r>
          </w:p>
        </w:tc>
        <w:tc>
          <w:tcPr>
            <w:tcW w:type="dxa" w:w="42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https://www.irena.org/Data</w:t>
            </w:r>
          </w:p>
        </w:tc>
        <w:tc>
          <w:tcPr>
            <w:tcW w:type="dxa" w:w="11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B</w:t>
            </w:r>
          </w:p>
        </w:tc>
      </w:tr>
      <w:tr>
        <w:trPr>
          <w:cantSplit/>
        </w:trPr>
        <w:tc>
          <w:tcPr>
            <w:tcW w:type="dxa" w:w="21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UN Comtrade</w:t>
            </w:r>
          </w:p>
        </w:tc>
        <w:tc>
          <w:tcPr>
            <w:tcW w:type="dxa" w:w="18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按国家和HS编码的贸易数据</w:t>
            </w:r>
          </w:p>
        </w:tc>
        <w:tc>
          <w:tcPr>
            <w:tcW w:type="dxa" w:w="42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https://comtrade.un.org/</w:t>
            </w:r>
          </w:p>
        </w:tc>
        <w:tc>
          <w:tcPr>
            <w:tcW w:type="dxa" w:w="11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B</w:t>
            </w:r>
          </w:p>
        </w:tc>
      </w:tr>
      <w:tr>
        <w:trPr>
          <w:cantSplit/>
        </w:trPr>
        <w:tc>
          <w:tcPr>
            <w:tcW w:type="dxa" w:w="21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UN Comtrade API</w:t>
            </w:r>
          </w:p>
        </w:tc>
        <w:tc>
          <w:tcPr>
            <w:tcW w:type="dxa" w:w="18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贸易数据接口及开发说明</w:t>
            </w:r>
          </w:p>
        </w:tc>
        <w:tc>
          <w:tcPr>
            <w:tcW w:type="dxa" w:w="42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https://comtradedeveloper.un.org/</w:t>
            </w:r>
          </w:p>
        </w:tc>
        <w:tc>
          <w:tcPr>
            <w:tcW w:type="dxa" w:w="11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B</w:t>
            </w:r>
          </w:p>
        </w:tc>
      </w:tr>
      <w:tr>
        <w:trPr>
          <w:cantSplit/>
        </w:trPr>
        <w:tc>
          <w:tcPr>
            <w:tcW w:type="dxa" w:w="21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ADB项目</w:t>
            </w:r>
          </w:p>
        </w:tc>
        <w:tc>
          <w:tcPr>
            <w:tcW w:type="dxa" w:w="18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亚洲项目、文件和招标</w:t>
            </w:r>
          </w:p>
        </w:tc>
        <w:tc>
          <w:tcPr>
            <w:tcW w:type="dxa" w:w="42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https://www.adb.org/projects</w:t>
            </w:r>
          </w:p>
        </w:tc>
        <w:tc>
          <w:tcPr>
            <w:tcW w:type="dxa" w:w="11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B</w:t>
            </w:r>
          </w:p>
        </w:tc>
      </w:tr>
      <w:tr>
        <w:trPr>
          <w:cantSplit/>
        </w:trPr>
        <w:tc>
          <w:tcPr>
            <w:tcW w:type="dxa" w:w="21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AfDB采购</w:t>
            </w:r>
          </w:p>
        </w:tc>
        <w:tc>
          <w:tcPr>
            <w:tcW w:type="dxa" w:w="18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非洲项目采购和通知</w:t>
            </w:r>
          </w:p>
        </w:tc>
        <w:tc>
          <w:tcPr>
            <w:tcW w:type="dxa" w:w="42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https://www.afdb.org/en/projects-and-operations/procurement</w:t>
            </w:r>
          </w:p>
        </w:tc>
        <w:tc>
          <w:tcPr>
            <w:tcW w:type="dxa" w:w="11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B</w:t>
            </w:r>
          </w:p>
        </w:tc>
      </w:tr>
      <w:tr>
        <w:trPr>
          <w:cantSplit/>
        </w:trPr>
        <w:tc>
          <w:tcPr>
            <w:tcW w:type="dxa" w:w="21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UNGM</w:t>
            </w:r>
          </w:p>
        </w:tc>
        <w:tc>
          <w:tcPr>
            <w:tcW w:type="dxa" w:w="18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联合国采购机会</w:t>
            </w:r>
          </w:p>
        </w:tc>
        <w:tc>
          <w:tcPr>
            <w:tcW w:type="dxa" w:w="42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https://www.ungm.org/</w:t>
            </w:r>
          </w:p>
        </w:tc>
        <w:tc>
          <w:tcPr>
            <w:tcW w:type="dxa" w:w="11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B</w:t>
            </w:r>
          </w:p>
        </w:tc>
      </w:tr>
    </w:tbl>
    <w:p>
      <w:pPr>
        <w:spacing w:after="20"/>
      </w:pPr>
    </w:p>
    <w:p>
      <w:pPr>
        <w:pStyle w:val="Heading2"/>
      </w:pPr>
      <w:r>
        <w:t>5.2 国家官方来源</w:t>
      </w:r>
    </w:p>
    <w:tbl>
      <w:tblPr>
        <w:tblStyle w:val="TableGrid"/>
        <w:jc w:val="center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413"/>
        <w:gridCol w:w="5298"/>
        <w:gridCol w:w="2649"/>
      </w:tblGrid>
      <w:tr>
        <w:trPr>
          <w:tblHeader w:val="true"/>
          <w:cantSplit/>
        </w:trPr>
        <w:tc>
          <w:tcPr>
            <w:tcW w:type="dxa" w:w="14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国家</w:t>
            </w:r>
          </w:p>
        </w:tc>
        <w:tc>
          <w:tcPr>
            <w:tcW w:type="dxa" w:w="52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来源机构/入口</w:t>
            </w:r>
          </w:p>
        </w:tc>
        <w:tc>
          <w:tcPr>
            <w:tcW w:type="dxa" w:w="26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主要用途</w:t>
            </w:r>
          </w:p>
        </w:tc>
      </w:tr>
      <w:tr>
        <w:trPr>
          <w:cantSplit/>
        </w:trPr>
        <w:tc>
          <w:tcPr>
            <w:tcW w:type="dxa" w:w="14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印尼</w:t>
            </w:r>
          </w:p>
        </w:tc>
        <w:tc>
          <w:tcPr>
            <w:tcW w:type="dxa" w:w="52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ESDM能源统计：https://www.esdm.go.id/en/publication/handbook-of-energy-economic-statistics-of-indonesia-heesi</w:t>
            </w:r>
          </w:p>
        </w:tc>
        <w:tc>
          <w:tcPr>
            <w:tcW w:type="dxa" w:w="26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能源统计和官方出版物</w:t>
            </w:r>
          </w:p>
        </w:tc>
      </w:tr>
      <w:tr>
        <w:trPr>
          <w:cantSplit/>
        </w:trPr>
        <w:tc>
          <w:tcPr>
            <w:tcW w:type="dxa" w:w="14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印尼</w:t>
            </w:r>
          </w:p>
        </w:tc>
        <w:tc>
          <w:tcPr>
            <w:tcW w:type="dxa" w:w="52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PLN电子采购：https://eproc.pln.co.id/</w:t>
            </w:r>
          </w:p>
        </w:tc>
        <w:tc>
          <w:tcPr>
            <w:tcW w:type="dxa" w:w="26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电网采购、招标和授标线索</w:t>
            </w:r>
          </w:p>
        </w:tc>
      </w:tr>
      <w:tr>
        <w:trPr>
          <w:cantSplit/>
        </w:trPr>
        <w:tc>
          <w:tcPr>
            <w:tcW w:type="dxa" w:w="14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越南</w:t>
            </w:r>
          </w:p>
        </w:tc>
        <w:tc>
          <w:tcPr>
            <w:tcW w:type="dxa" w:w="52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工贸部能源栏目：https://moit.gov.vn/en/news/energy</w:t>
            </w:r>
          </w:p>
        </w:tc>
        <w:tc>
          <w:tcPr>
            <w:tcW w:type="dxa" w:w="26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政策、能源和监管动态</w:t>
            </w:r>
          </w:p>
        </w:tc>
      </w:tr>
      <w:tr>
        <w:trPr>
          <w:cantSplit/>
        </w:trPr>
        <w:tc>
          <w:tcPr>
            <w:tcW w:type="dxa" w:w="14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越南</w:t>
            </w:r>
          </w:p>
        </w:tc>
        <w:tc>
          <w:tcPr>
            <w:tcW w:type="dxa" w:w="52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EVN：https://en.evn.com.vn/</w:t>
            </w:r>
          </w:p>
        </w:tc>
        <w:tc>
          <w:tcPr>
            <w:tcW w:type="dxa" w:w="26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电力运行、项目和年度报告</w:t>
            </w:r>
          </w:p>
        </w:tc>
      </w:tr>
      <w:tr>
        <w:trPr>
          <w:cantSplit/>
        </w:trPr>
        <w:tc>
          <w:tcPr>
            <w:tcW w:type="dxa" w:w="14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沙特</w:t>
            </w:r>
          </w:p>
        </w:tc>
        <w:tc>
          <w:tcPr>
            <w:tcW w:type="dxa" w:w="52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能源部：https://www.moenergy.gov.sa/en</w:t>
            </w:r>
          </w:p>
        </w:tc>
        <w:tc>
          <w:tcPr>
            <w:tcW w:type="dxa" w:w="26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政策、项目和国家能源计划</w:t>
            </w:r>
          </w:p>
        </w:tc>
      </w:tr>
      <w:tr>
        <w:trPr>
          <w:cantSplit/>
        </w:trPr>
        <w:tc>
          <w:tcPr>
            <w:tcW w:type="dxa" w:w="14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沙特</w:t>
            </w:r>
          </w:p>
        </w:tc>
        <w:tc>
          <w:tcPr>
            <w:tcW w:type="dxa" w:w="52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Principal Buyer：https://pb.com.sa/</w:t>
            </w:r>
          </w:p>
        </w:tc>
        <w:tc>
          <w:tcPr>
            <w:tcW w:type="dxa" w:w="26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电力采购、开发商资格和项目授标</w:t>
            </w:r>
          </w:p>
        </w:tc>
      </w:tr>
      <w:tr>
        <w:trPr>
          <w:cantSplit/>
        </w:trPr>
        <w:tc>
          <w:tcPr>
            <w:tcW w:type="dxa" w:w="14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南非</w:t>
            </w:r>
          </w:p>
        </w:tc>
        <w:tc>
          <w:tcPr>
            <w:tcW w:type="dxa" w:w="52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矿产资源与能源部门：https://www.dmre.gov.za/</w:t>
            </w:r>
          </w:p>
        </w:tc>
        <w:tc>
          <w:tcPr>
            <w:tcW w:type="dxa" w:w="26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政策、规划和监管信息</w:t>
            </w:r>
          </w:p>
        </w:tc>
      </w:tr>
      <w:tr>
        <w:trPr>
          <w:cantSplit/>
        </w:trPr>
        <w:tc>
          <w:tcPr>
            <w:tcW w:type="dxa" w:w="14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南非</w:t>
            </w:r>
          </w:p>
        </w:tc>
        <w:tc>
          <w:tcPr>
            <w:tcW w:type="dxa" w:w="52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IPP项目办公室：https://www.ipp-projects.co.za/</w:t>
            </w:r>
          </w:p>
        </w:tc>
        <w:tc>
          <w:tcPr>
            <w:tcW w:type="dxa" w:w="26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REIPPPP和储能等采购项目</w:t>
            </w:r>
          </w:p>
        </w:tc>
      </w:tr>
      <w:tr>
        <w:trPr>
          <w:cantSplit/>
        </w:trPr>
        <w:tc>
          <w:tcPr>
            <w:tcW w:type="dxa" w:w="14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巴西</w:t>
            </w:r>
          </w:p>
        </w:tc>
        <w:tc>
          <w:tcPr>
            <w:tcW w:type="dxa" w:w="52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矿业和能源部：https://www.gov.br/mme/</w:t>
            </w:r>
          </w:p>
        </w:tc>
        <w:tc>
          <w:tcPr>
            <w:tcW w:type="dxa" w:w="26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政策、统计和能源公报</w:t>
            </w:r>
          </w:p>
        </w:tc>
      </w:tr>
      <w:tr>
        <w:trPr>
          <w:cantSplit/>
        </w:trPr>
        <w:tc>
          <w:tcPr>
            <w:tcW w:type="dxa" w:w="14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巴西</w:t>
            </w:r>
          </w:p>
        </w:tc>
        <w:tc>
          <w:tcPr>
            <w:tcW w:type="dxa" w:w="52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ANEEL：https://www.gov.br/aneel/</w:t>
            </w:r>
          </w:p>
        </w:tc>
        <w:tc>
          <w:tcPr>
            <w:tcW w:type="dxa" w:w="26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电力监管、项目和市场数据</w:t>
            </w:r>
          </w:p>
        </w:tc>
      </w:tr>
      <w:tr>
        <w:trPr>
          <w:cantSplit/>
        </w:trPr>
        <w:tc>
          <w:tcPr>
            <w:tcW w:type="dxa" w:w="14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巴西</w:t>
            </w:r>
          </w:p>
        </w:tc>
        <w:tc>
          <w:tcPr>
            <w:tcW w:type="dxa" w:w="52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EPE：https://www.epe.gov.br/</w:t>
            </w:r>
          </w:p>
        </w:tc>
        <w:tc>
          <w:tcPr>
            <w:tcW w:type="dxa" w:w="26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能源规划、平衡和研究数据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/>
          <w:color w:val="0B2545"/>
          <w:sz w:val="22"/>
        </w:rPr>
        <w:t>除上述来源外，统计局、投资主管部门、法律法规数据库、中央银行、证券交易所、电网运营商和项目主体官网，应在D1按数据域补齐。</w:t>
      </w:r>
    </w:p>
    <w:p>
      <w:pPr>
        <w:pStyle w:val="Heading1"/>
      </w:pPr>
      <w:r>
        <w:t>6. 原始资料目录与命名</w:t>
      </w:r>
    </w:p>
    <w:p>
      <w:r>
        <w:rPr>
          <w:rFonts w:ascii="Noto Sans CJK SC" w:hAnsi="Noto Sans CJK SC" w:eastAsia="Noto Sans CJK SC"/>
          <w:color w:val="0B2545"/>
          <w:sz w:val="22"/>
        </w:rPr>
        <w:t>建议目录：</w:t>
      </w:r>
    </w:p>
    <w:tbl>
      <w:tblPr>
        <w:jc w:val="center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DejaVu Sans Mono" w:hAnsi="DejaVu Sans Mono" w:eastAsia="DejaVu Sans Mono"/>
                <w:color w:val="0B2545"/>
                <w:sz w:val="17"/>
              </w:rPr>
              <w:t>data/</w:t>
              <w:br/>
              <w:t xml:space="preserve">  l0_raw/{country}/{source_code}/{yyyy}/{mm}/{run_id}/</w:t>
              <w:br/>
              <w:t xml:space="preserve">  l1_parsed/{entity}/{batch_id}/</w:t>
              <w:br/>
              <w:t xml:space="preserve">  l2_standardized/{entity}/{batch_id}/</w:t>
              <w:br/>
              <w:t xml:space="preserve">  l3_published/{release_id}/</w:t>
              <w:br/>
              <w:t xml:space="preserve">  manifests/</w:t>
              <w:br/>
              <w:t xml:space="preserve">  quality_reports/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/>
          <w:color w:val="0B2545"/>
          <w:sz w:val="22"/>
        </w:rPr>
        <w:t>原始文件名：</w:t>
      </w:r>
    </w:p>
    <w:tbl>
      <w:tblPr>
        <w:jc w:val="center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DejaVu Sans Mono" w:hAnsi="DejaVu Sans Mono" w:eastAsia="DejaVu Sans Mono"/>
                <w:color w:val="0B2545"/>
                <w:sz w:val="17"/>
              </w:rPr>
              <w:t>{country}_{source_code}_{document_type}_{published_date}_{source_id}_{content_hash8}.{ext}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/>
          <w:color w:val="0B2545"/>
          <w:sz w:val="22"/>
        </w:rPr>
        <w:t>每个文件必须有清单记录：原始URL、最终URL、机构、标题、发布日期、采集时间、访问方式、语言、MIME、字节数、SHA-256、运行ID、许可快照ID、解析状态和保留期限。</w:t>
      </w:r>
    </w:p>
    <w:p>
      <w:pPr>
        <w:pStyle w:val="Heading1"/>
      </w:pPr>
      <w:r>
        <w:t>7. 人员组织与RACI</w:t>
      </w:r>
    </w:p>
    <w:p>
      <w:pPr>
        <w:pStyle w:val="Heading2"/>
      </w:pPr>
      <w:r>
        <w:t>7.1 建议团队</w:t>
      </w:r>
    </w:p>
    <w:tbl>
      <w:tblPr>
        <w:tblStyle w:val="TableGrid"/>
        <w:jc w:val="center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971"/>
        <w:gridCol w:w="2709"/>
        <w:gridCol w:w="4680"/>
      </w:tblGrid>
      <w:tr>
        <w:trPr>
          <w:tblHeader w:val="true"/>
          <w:cantSplit/>
        </w:trPr>
        <w:tc>
          <w:tcPr>
            <w:tcW w:type="dxa" w:w="19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角色</w:t>
            </w:r>
          </w:p>
        </w:tc>
        <w:tc>
          <w:tcPr>
            <w:tcW w:type="dxa" w:w="27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建议投入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主要职责</w:t>
            </w:r>
          </w:p>
        </w:tc>
      </w:tr>
      <w:tr>
        <w:trPr>
          <w:cantSplit/>
        </w:trPr>
        <w:tc>
          <w:tcPr>
            <w:tcW w:type="dxa" w:w="19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数据负责人</w:t>
            </w:r>
          </w:p>
        </w:tc>
        <w:tc>
          <w:tcPr>
            <w:tcW w:type="dxa" w:w="27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1.0 FTE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范围、标准、D4质量和最终签署</w:t>
            </w:r>
          </w:p>
        </w:tc>
      </w:tr>
      <w:tr>
        <w:trPr>
          <w:cantSplit/>
        </w:trPr>
        <w:tc>
          <w:tcPr>
            <w:tcW w:type="dxa" w:w="19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数据架构/后端</w:t>
            </w:r>
          </w:p>
        </w:tc>
        <w:tc>
          <w:tcPr>
            <w:tcW w:type="dxa" w:w="27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0.5 FTE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实体、字段、版本、导入和种子库</w:t>
            </w:r>
          </w:p>
        </w:tc>
      </w:tr>
      <w:tr>
        <w:trPr>
          <w:cantSplit/>
        </w:trPr>
        <w:tc>
          <w:tcPr>
            <w:tcW w:type="dxa" w:w="19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数据工程</w:t>
            </w:r>
          </w:p>
        </w:tc>
        <w:tc>
          <w:tcPr>
            <w:tcW w:type="dxa" w:w="27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1.0—1.5 FTE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采集任务、文件、解析、日志和重放</w:t>
            </w:r>
          </w:p>
        </w:tc>
      </w:tr>
      <w:tr>
        <w:trPr>
          <w:cantSplit/>
        </w:trPr>
        <w:tc>
          <w:tcPr>
            <w:tcW w:type="dxa" w:w="19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数据研究员</w:t>
            </w:r>
          </w:p>
        </w:tc>
        <w:tc>
          <w:tcPr>
            <w:tcW w:type="dxa" w:w="27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2.0 FTE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五国来源、政策、项目、伙伴和人工核实</w:t>
            </w:r>
          </w:p>
        </w:tc>
      </w:tr>
      <w:tr>
        <w:trPr>
          <w:cantSplit/>
        </w:trPr>
        <w:tc>
          <w:tcPr>
            <w:tcW w:type="dxa" w:w="19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多语言审校</w:t>
            </w:r>
          </w:p>
        </w:tc>
        <w:tc>
          <w:tcPr>
            <w:tcW w:type="dxa" w:w="27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0.5—1.0 FTE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印尼语、越南语、阿拉伯语、葡萄牙语复核</w:t>
            </w:r>
          </w:p>
        </w:tc>
      </w:tr>
      <w:tr>
        <w:trPr>
          <w:cantSplit/>
        </w:trPr>
        <w:tc>
          <w:tcPr>
            <w:tcW w:type="dxa" w:w="19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数据质量/测试</w:t>
            </w:r>
          </w:p>
        </w:tc>
        <w:tc>
          <w:tcPr>
            <w:tcW w:type="dxa" w:w="27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0.5—1.0 FTE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规则、抽样、问题、复验和D4证据</w:t>
            </w:r>
          </w:p>
        </w:tc>
      </w:tr>
      <w:tr>
        <w:trPr>
          <w:cantSplit/>
        </w:trPr>
        <w:tc>
          <w:tcPr>
            <w:tcW w:type="dxa" w:w="19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法务/合规</w:t>
            </w:r>
          </w:p>
        </w:tc>
        <w:tc>
          <w:tcPr>
            <w:tcW w:type="dxa" w:w="27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0.2—0.3 FTE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来源许可、隐私、再分发和AI使用边界</w:t>
            </w:r>
          </w:p>
        </w:tc>
      </w:tr>
      <w:tr>
        <w:trPr>
          <w:cantSplit/>
        </w:trPr>
        <w:tc>
          <w:tcPr>
            <w:tcW w:type="dxa" w:w="19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产品/业务专家</w:t>
            </w:r>
          </w:p>
        </w:tc>
        <w:tc>
          <w:tcPr>
            <w:tcW w:type="dxa" w:w="27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0.3—0.5 FTE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核心字段、样本价值和验收场景</w:t>
            </w:r>
          </w:p>
        </w:tc>
      </w:tr>
    </w:tbl>
    <w:p>
      <w:pPr>
        <w:spacing w:after="20"/>
      </w:pPr>
    </w:p>
    <w:p>
      <w:pPr>
        <w:pStyle w:val="Heading2"/>
      </w:pPr>
      <w:r>
        <w:t>7.2 关键RACI</w:t>
      </w:r>
    </w:p>
    <w:tbl>
      <w:tblPr>
        <w:tblStyle w:val="TableGrid"/>
        <w:jc w:val="center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 w:val="true"/>
          <w:cantSplit/>
        </w:trPr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事项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数据负责人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数据工程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研究员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质量测试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合规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产品业务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技术</w:t>
            </w:r>
          </w:p>
        </w:tc>
      </w:tr>
      <w:tr>
        <w:trPr>
          <w:cantSplit/>
        </w:trPr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D0字段冻结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A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C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C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C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C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R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C</w:t>
            </w:r>
          </w:p>
        </w:tc>
      </w:tr>
      <w:tr>
        <w:trPr>
          <w:cantSplit/>
        </w:trPr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来源准入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A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C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R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C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R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I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I</w:t>
            </w:r>
          </w:p>
        </w:tc>
      </w:tr>
      <w:tr>
        <w:trPr>
          <w:cantSplit/>
        </w:trPr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原始采集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A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R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R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C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I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I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C</w:t>
            </w:r>
          </w:p>
        </w:tc>
      </w:tr>
      <w:tr>
        <w:trPr>
          <w:cantSplit/>
        </w:trPr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清洗映射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A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R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R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C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I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C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C</w:t>
            </w:r>
          </w:p>
        </w:tc>
      </w:tr>
      <w:tr>
        <w:trPr>
          <w:cantSplit/>
        </w:trPr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人工审核发布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A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C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R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R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C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C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I</w:t>
            </w:r>
          </w:p>
        </w:tc>
      </w:tr>
      <w:tr>
        <w:trPr>
          <w:cantSplit/>
        </w:trPr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D4验收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A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C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C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R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C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R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C</w:t>
            </w:r>
          </w:p>
        </w:tc>
      </w:tr>
      <w:tr>
        <w:trPr>
          <w:cantSplit/>
        </w:trPr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V0.1移交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A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R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I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R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I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C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R</w:t>
            </w:r>
          </w:p>
        </w:tc>
      </w:tr>
    </w:tbl>
    <w:p>
      <w:pPr>
        <w:spacing w:after="20"/>
      </w:pPr>
    </w:p>
    <w:p>
      <w:pPr>
        <w:pStyle w:val="Heading1"/>
      </w:pPr>
      <w:r>
        <w:t>8. 日常执行机制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CJK SC" w:hAnsi="Noto Sans CJK SC" w:eastAsia="Noto Sans CJK SC"/>
          <w:color w:val="0B2545"/>
          <w:sz w:val="22"/>
        </w:rPr>
        <w:t>每日15分钟数据站会：昨日完成、今日批次、来源阻塞、质量问题和需要决策事项；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CJK SC" w:hAnsi="Noto Sans CJK SC" w:eastAsia="Noto Sans CJK SC"/>
          <w:color w:val="0B2545"/>
          <w:sz w:val="22"/>
        </w:rPr>
        <w:t>每周一冻结本周批次和对象目标；周五发布覆盖、质量和问题报告；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CJK SC" w:hAnsi="Noto Sans CJK SC" w:eastAsia="Noto Sans CJK SC"/>
          <w:color w:val="0B2545"/>
          <w:sz w:val="22"/>
        </w:rPr>
        <w:t>来源、字段、采集运行、质量问题和审核任务均用唯一编号；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CJK SC" w:hAnsi="Noto Sans CJK SC" w:eastAsia="Noto Sans CJK SC"/>
          <w:color w:val="0B2545"/>
          <w:sz w:val="22"/>
        </w:rPr>
        <w:t>P0问题即时升级，P1问题在1个工作日内确认责任人；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CJK SC" w:hAnsi="Noto Sans CJK SC" w:eastAsia="Noto Sans CJK SC"/>
          <w:color w:val="0B2545"/>
          <w:sz w:val="22"/>
        </w:rPr>
        <w:t>任何批次只能在原始包、清单、规则结果和审核记录完整后关闭；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CJK SC" w:hAnsi="Noto Sans CJK SC" w:eastAsia="Noto Sans CJK SC"/>
          <w:color w:val="0B2545"/>
          <w:sz w:val="22"/>
        </w:rPr>
        <w:t>进度以“已审核发布的有效记录”计算，不以下载文件数或脚本运行次数计算。</w:t>
      </w:r>
    </w:p>
    <w:p>
      <w:pPr>
        <w:pStyle w:val="Heading1"/>
      </w:pPr>
      <w:r>
        <w:t>9. D4量化验收</w:t>
      </w:r>
    </w:p>
    <w:p>
      <w:pPr>
        <w:pStyle w:val="Heading2"/>
      </w:pPr>
      <w:r>
        <w:t>9.1 100分评分表</w:t>
      </w:r>
    </w:p>
    <w:tbl>
      <w:tblPr>
        <w:tblStyle w:val="TableGrid"/>
        <w:jc w:val="center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478"/>
        <w:gridCol w:w="2202"/>
        <w:gridCol w:w="4680"/>
      </w:tblGrid>
      <w:tr>
        <w:trPr>
          <w:tblHeader w:val="true"/>
          <w:cantSplit/>
        </w:trPr>
        <w:tc>
          <w:tcPr>
            <w:tcW w:type="dxa" w:w="2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维度</w:t>
            </w:r>
          </w:p>
        </w:tc>
        <w:tc>
          <w:tcPr>
            <w:tcW w:type="dxa" w:w="22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权重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主要证据</w:t>
            </w:r>
          </w:p>
        </w:tc>
      </w:tr>
      <w:tr>
        <w:trPr>
          <w:cantSplit/>
        </w:trPr>
        <w:tc>
          <w:tcPr>
            <w:tcW w:type="dxa" w:w="2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标准与模板完整</w:t>
            </w:r>
          </w:p>
        </w:tc>
        <w:tc>
          <w:tcPr>
            <w:tcW w:type="dxa" w:w="22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10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字典、枚举、映射和模板批准记录</w:t>
            </w:r>
          </w:p>
        </w:tc>
      </w:tr>
      <w:tr>
        <w:trPr>
          <w:cantSplit/>
        </w:trPr>
        <w:tc>
          <w:tcPr>
            <w:tcW w:type="dxa" w:w="2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来源准入与合法使用</w:t>
            </w:r>
          </w:p>
        </w:tc>
        <w:tc>
          <w:tcPr>
            <w:tcW w:type="dxa" w:w="22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15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来源登记、条款/许可快照和复核</w:t>
            </w:r>
          </w:p>
        </w:tc>
      </w:tr>
      <w:tr>
        <w:trPr>
          <w:cantSplit/>
        </w:trPr>
        <w:tc>
          <w:tcPr>
            <w:tcW w:type="dxa" w:w="2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数据覆盖与完整性</w:t>
            </w:r>
          </w:p>
        </w:tc>
        <w:tc>
          <w:tcPr>
            <w:tcW w:type="dxa" w:w="22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20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国家、数据域、对象和核心字段覆盖</w:t>
            </w:r>
          </w:p>
        </w:tc>
      </w:tr>
      <w:tr>
        <w:trPr>
          <w:cantSplit/>
        </w:trPr>
        <w:tc>
          <w:tcPr>
            <w:tcW w:type="dxa" w:w="2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准确性与一致性</w:t>
            </w:r>
          </w:p>
        </w:tc>
        <w:tc>
          <w:tcPr>
            <w:tcW w:type="dxa" w:w="22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20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金标准、双人抽样、冲突和单位校验</w:t>
            </w:r>
          </w:p>
        </w:tc>
      </w:tr>
      <w:tr>
        <w:trPr>
          <w:cantSplit/>
        </w:trPr>
        <w:tc>
          <w:tcPr>
            <w:tcW w:type="dxa" w:w="2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可追溯性</w:t>
            </w:r>
          </w:p>
        </w:tc>
        <w:tc>
          <w:tcPr>
            <w:tcW w:type="dxa" w:w="22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15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发布字段到原始快照的证据链</w:t>
            </w:r>
          </w:p>
        </w:tc>
      </w:tr>
      <w:tr>
        <w:trPr>
          <w:cantSplit/>
        </w:trPr>
        <w:tc>
          <w:tcPr>
            <w:tcW w:type="dxa" w:w="2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时效性</w:t>
            </w:r>
          </w:p>
        </w:tc>
        <w:tc>
          <w:tcPr>
            <w:tcW w:type="dxa" w:w="22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10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发布、采集、复核和过期状态</w:t>
            </w:r>
          </w:p>
        </w:tc>
      </w:tr>
      <w:tr>
        <w:trPr>
          <w:cantSplit/>
        </w:trPr>
        <w:tc>
          <w:tcPr>
            <w:tcW w:type="dxa" w:w="2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可重放与可移交</w:t>
            </w:r>
          </w:p>
        </w:tc>
        <w:tc>
          <w:tcPr>
            <w:tcW w:type="dxa" w:w="22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10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原始包、清单、脚本/步骤和重建演练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/>
          <w:b/>
          <w:color w:val="0B2545"/>
          <w:sz w:val="22"/>
        </w:rPr>
        <w:t>通过条件：</w:t>
      </w:r>
      <w:r>
        <w:rPr>
          <w:rFonts w:ascii="Noto Sans CJK SC" w:hAnsi="Noto Sans CJK SC" w:eastAsia="Noto Sans CJK SC"/>
          <w:color w:val="0B2545"/>
          <w:sz w:val="22"/>
        </w:rPr>
        <w:t xml:space="preserve"> 总分≥85；每个维度不低于该维度满分的70%；P0问题为0；印尼核心字段完整率≥90%；四个比较国≥70%；已发布关键事实100%可追溯；来源许可边界清楚；抽样准确率≥95%；重复有效记录率≤1%；D4签署完成。</w:t>
      </w:r>
    </w:p>
    <w:p>
      <w:pPr>
        <w:pStyle w:val="Heading2"/>
      </w:pPr>
      <w:r>
        <w:t>9.2 抽样规则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CJK SC" w:hAnsi="Noto Sans CJK SC" w:eastAsia="Noto Sans CJK SC"/>
          <w:color w:val="0B2545"/>
          <w:sz w:val="22"/>
        </w:rPr>
        <w:t>国家核心字段：印尼全量复核；比较国每国至少抽20个关键字段；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CJK SC" w:hAnsi="Noto Sans CJK SC" w:eastAsia="Noto Sans CJK SC"/>
          <w:color w:val="0B2545"/>
          <w:sz w:val="22"/>
        </w:rPr>
        <w:t>政策法规：印尼抽20条或全量较小者；每个比较国抽8条；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CJK SC" w:hAnsi="Noto Sans CJK SC" w:eastAsia="Noto Sans CJK SC"/>
          <w:color w:val="0B2545"/>
          <w:sz w:val="22"/>
        </w:rPr>
        <w:t>项目与招标：每国至少抽10条，覆盖不同阶段和核实状态；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CJK SC" w:hAnsi="Noto Sans CJK SC" w:eastAsia="Noto Sans CJK SC"/>
          <w:color w:val="0B2545"/>
          <w:sz w:val="22"/>
        </w:rPr>
        <w:t>伙伴：每国至少抽10家，检查主体去重和类型；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CJK SC" w:hAnsi="Noto Sans CJK SC" w:eastAsia="Noto Sans CJK SC"/>
          <w:color w:val="0B2545"/>
          <w:sz w:val="22"/>
        </w:rPr>
        <w:t>RAG文档：每国至少抽10份，检查权限、切分、引用和撤权；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CJK SC" w:hAnsi="Noto Sans CJK SC" w:eastAsia="Noto Sans CJK SC"/>
          <w:color w:val="0B2545"/>
          <w:sz w:val="22"/>
        </w:rPr>
        <w:t>高风险字段、冲突记录和人工合并记录100%复核。</w:t>
      </w:r>
    </w:p>
    <w:p>
      <w:pPr>
        <w:pStyle w:val="Heading1"/>
      </w:pPr>
      <w:r>
        <w:t>10. 质量停止条件</w:t>
      </w:r>
    </w:p>
    <w:p>
      <w:r>
        <w:rPr>
          <w:rFonts w:ascii="Noto Sans CJK SC" w:hAnsi="Noto Sans CJK SC" w:eastAsia="Noto Sans CJK SC"/>
          <w:color w:val="0B2545"/>
          <w:sz w:val="22"/>
        </w:rPr>
        <w:t>出现以下任一情况，应停止受影响来源、批次或发布：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CJK SC" w:hAnsi="Noto Sans CJK SC" w:eastAsia="Noto Sans CJK SC"/>
          <w:color w:val="0B2545"/>
          <w:sz w:val="22"/>
        </w:rPr>
        <w:t>来源条款、版权、隐私或访问许可不清；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CJK SC" w:hAnsi="Noto Sans CJK SC" w:eastAsia="Noto Sans CJK SC"/>
          <w:color w:val="0B2545"/>
          <w:sz w:val="22"/>
        </w:rPr>
        <w:t>采集需要绕过技术或账户限制；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CJK SC" w:hAnsi="Noto Sans CJK SC" w:eastAsia="Noto Sans CJK SC"/>
          <w:color w:val="0B2545"/>
          <w:sz w:val="22"/>
        </w:rPr>
        <w:t>关键字段无法追溯到原始证据；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CJK SC" w:hAnsi="Noto Sans CJK SC" w:eastAsia="Noto Sans CJK SC"/>
          <w:color w:val="0B2545"/>
          <w:sz w:val="22"/>
        </w:rPr>
        <w:t>模式漂移导致错误字段映射；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CJK SC" w:hAnsi="Noto Sans CJK SC" w:eastAsia="Noto Sans CJK SC"/>
          <w:color w:val="0B2545"/>
          <w:sz w:val="22"/>
        </w:rPr>
        <w:t>实体合并可能混淆不同主体；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CJK SC" w:hAnsi="Noto Sans CJK SC" w:eastAsia="Noto Sans CJK SC"/>
          <w:color w:val="0B2545"/>
          <w:sz w:val="22"/>
        </w:rPr>
        <w:t>恶意文件、敏感个人信息或跨企业数据进入处理链；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CJK SC" w:hAnsi="Noto Sans CJK SC" w:eastAsia="Noto Sans CJK SC"/>
          <w:color w:val="0B2545"/>
          <w:sz w:val="22"/>
        </w:rPr>
        <w:t>P0质量问题、批量错误翻译或单位换算错误；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CJK SC" w:hAnsi="Noto Sans CJK SC" w:eastAsia="Noto Sans CJK SC"/>
          <w:color w:val="0B2545"/>
          <w:sz w:val="22"/>
        </w:rPr>
        <w:t>同一问题连续两批发生且永久修复未验证。</w:t>
      </w:r>
    </w:p>
    <w:p>
      <w:r>
        <w:rPr>
          <w:rFonts w:ascii="Noto Sans CJK SC" w:hAnsi="Noto Sans CJK SC" w:eastAsia="Noto Sans CJK SC"/>
          <w:color w:val="0B2545"/>
          <w:sz w:val="22"/>
        </w:rPr>
        <w:t>停止不等同于删除。原始证据、运行日志、错误、影响范围和处置决定必须保留。</w:t>
      </w:r>
    </w:p>
    <w:p>
      <w:pPr>
        <w:pStyle w:val="Heading1"/>
      </w:pPr>
      <w:r>
        <w:t>11. 风险与应对</w:t>
      </w:r>
    </w:p>
    <w:tbl>
      <w:tblPr>
        <w:tblStyle w:val="TableGrid"/>
        <w:jc w:val="center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971"/>
        <w:gridCol w:w="3202"/>
        <w:gridCol w:w="4187"/>
      </w:tblGrid>
      <w:tr>
        <w:trPr>
          <w:tblHeader w:val="true"/>
          <w:cantSplit/>
        </w:trPr>
        <w:tc>
          <w:tcPr>
            <w:tcW w:type="dxa" w:w="19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风险</w:t>
            </w:r>
          </w:p>
        </w:tc>
        <w:tc>
          <w:tcPr>
            <w:tcW w:type="dxa" w:w="32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早期信号</w:t>
            </w:r>
          </w:p>
        </w:tc>
        <w:tc>
          <w:tcPr>
            <w:tcW w:type="dxa" w:w="41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应对</w:t>
            </w:r>
          </w:p>
        </w:tc>
      </w:tr>
      <w:tr>
        <w:trPr>
          <w:cantSplit/>
        </w:trPr>
        <w:tc>
          <w:tcPr>
            <w:tcW w:type="dxa" w:w="19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来源不稳定</w:t>
            </w:r>
          </w:p>
        </w:tc>
        <w:tc>
          <w:tcPr>
            <w:tcW w:type="dxa" w:w="32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频繁超时、路径变化、验证码</w:t>
            </w:r>
          </w:p>
        </w:tc>
        <w:tc>
          <w:tcPr>
            <w:tcW w:type="dxa" w:w="41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降频、人工复核、替代源、保留快照</w:t>
            </w:r>
          </w:p>
        </w:tc>
      </w:tr>
      <w:tr>
        <w:trPr>
          <w:cantSplit/>
        </w:trPr>
        <w:tc>
          <w:tcPr>
            <w:tcW w:type="dxa" w:w="19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许可不清</w:t>
            </w:r>
          </w:p>
        </w:tc>
        <w:tc>
          <w:tcPr>
            <w:tcW w:type="dxa" w:w="32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条款缺失或用途限制矛盾</w:t>
            </w:r>
          </w:p>
        </w:tc>
        <w:tc>
          <w:tcPr>
            <w:tcW w:type="dxa" w:w="41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保持待复核，不自动采集，不进入AI</w:t>
            </w:r>
          </w:p>
        </w:tc>
      </w:tr>
      <w:tr>
        <w:trPr>
          <w:cantSplit/>
        </w:trPr>
        <w:tc>
          <w:tcPr>
            <w:tcW w:type="dxa" w:w="19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多语言误译</w:t>
            </w:r>
          </w:p>
        </w:tc>
        <w:tc>
          <w:tcPr>
            <w:tcW w:type="dxa" w:w="32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关键术语前后不一致</w:t>
            </w:r>
          </w:p>
        </w:tc>
        <w:tc>
          <w:tcPr>
            <w:tcW w:type="dxa" w:w="41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术语库、源文并列、关键字段人工审校</w:t>
            </w:r>
          </w:p>
        </w:tc>
      </w:tr>
      <w:tr>
        <w:trPr>
          <w:cantSplit/>
        </w:trPr>
        <w:tc>
          <w:tcPr>
            <w:tcW w:type="dxa" w:w="19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实体误合并</w:t>
            </w:r>
          </w:p>
        </w:tc>
        <w:tc>
          <w:tcPr>
            <w:tcW w:type="dxa" w:w="32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同名主体、项目阶段冲突</w:t>
            </w:r>
          </w:p>
        </w:tc>
        <w:tc>
          <w:tcPr>
            <w:tcW w:type="dxa" w:w="41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保守匹配、人工预览、可撤销映射</w:t>
            </w:r>
          </w:p>
        </w:tc>
      </w:tr>
      <w:tr>
        <w:trPr>
          <w:cantSplit/>
        </w:trPr>
        <w:tc>
          <w:tcPr>
            <w:tcW w:type="dxa" w:w="19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数量挤压质量</w:t>
            </w:r>
          </w:p>
        </w:tc>
        <w:tc>
          <w:tcPr>
            <w:tcW w:type="dxa" w:w="32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下载量高但审核积压</w:t>
            </w:r>
          </w:p>
        </w:tc>
        <w:tc>
          <w:tcPr>
            <w:tcW w:type="dxa" w:w="41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以已审核发布计进度，限制在制品</w:t>
            </w:r>
          </w:p>
        </w:tc>
      </w:tr>
      <w:tr>
        <w:trPr>
          <w:cantSplit/>
        </w:trPr>
        <w:tc>
          <w:tcPr>
            <w:tcW w:type="dxa" w:w="19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过度设计</w:t>
            </w:r>
          </w:p>
        </w:tc>
        <w:tc>
          <w:tcPr>
            <w:tcW w:type="dxa" w:w="32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D0字段持续扩张</w:t>
            </w:r>
          </w:p>
        </w:tc>
        <w:tc>
          <w:tcPr>
            <w:tcW w:type="dxa" w:w="41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冻结核心字段集，新增项走变更</w:t>
            </w:r>
          </w:p>
        </w:tc>
      </w:tr>
      <w:tr>
        <w:trPr>
          <w:cantSplit/>
        </w:trPr>
        <w:tc>
          <w:tcPr>
            <w:tcW w:type="dxa" w:w="19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临时工具失控</w:t>
            </w:r>
          </w:p>
        </w:tc>
        <w:tc>
          <w:tcPr>
            <w:tcW w:type="dxa" w:w="32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出现生产账号或用户功能</w:t>
            </w:r>
          </w:p>
        </w:tc>
        <w:tc>
          <w:tcPr>
            <w:tcW w:type="dxa" w:w="41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架构评审、隔离环境、明确退役日期</w:t>
            </w:r>
          </w:p>
        </w:tc>
      </w:tr>
      <w:tr>
        <w:trPr>
          <w:cantSplit/>
        </w:trPr>
        <w:tc>
          <w:tcPr>
            <w:tcW w:type="dxa" w:w="19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D4被进度绕过</w:t>
            </w:r>
          </w:p>
        </w:tc>
        <w:tc>
          <w:tcPr>
            <w:tcW w:type="dxa" w:w="32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要求用Mock先开发</w:t>
            </w:r>
          </w:p>
        </w:tc>
        <w:tc>
          <w:tcPr>
            <w:tcW w:type="dxa" w:w="41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7"/>
              </w:rPr>
              <w:t>项目委员会书面变更；不得口头豁免</w:t>
            </w:r>
          </w:p>
        </w:tc>
      </w:tr>
    </w:tbl>
    <w:p>
      <w:pPr>
        <w:spacing w:after="20"/>
      </w:pPr>
    </w:p>
    <w:p>
      <w:pPr>
        <w:pStyle w:val="Heading1"/>
      </w:pPr>
      <w:r>
        <w:t>12. D4交付物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Noto Sans CJK SC" w:hAnsi="Noto Sans CJK SC" w:eastAsia="Noto Sans CJK SC"/>
          <w:color w:val="0B2545"/>
          <w:sz w:val="22"/>
        </w:rPr>
        <w:t>D0数据标准包：核心字段、实体、枚举、单位、命名和模板；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Noto Sans CJK SC" w:hAnsi="Noto Sans CJK SC" w:eastAsia="Noto Sans CJK SC"/>
          <w:color w:val="0B2545"/>
          <w:sz w:val="22"/>
        </w:rPr>
        <w:t>D1来源包：来源目录、许可/条款快照、准入决定和替代源；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Noto Sans CJK SC" w:hAnsi="Noto Sans CJK SC" w:eastAsia="Noto Sans CJK SC"/>
          <w:color w:val="0B2545"/>
          <w:sz w:val="22"/>
        </w:rPr>
        <w:t>D2原始数据包：五国原始文件、网页/API证据、清单、哈希和运行日志；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Noto Sans CJK SC" w:hAnsi="Noto Sans CJK SC" w:eastAsia="Noto Sans CJK SC"/>
          <w:color w:val="0B2545"/>
          <w:sz w:val="22"/>
        </w:rPr>
        <w:t>D3标准化数据包：映射、清洗、翻译、实体、去重和候选版本；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Noto Sans CJK SC" w:hAnsi="Noto Sans CJK SC" w:eastAsia="Noto Sans CJK SC"/>
          <w:color w:val="0B2545"/>
          <w:sz w:val="22"/>
        </w:rPr>
        <w:t>D4种子库：已审核发布数据、数据库导入包、版本和回滚说明；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Noto Sans CJK SC" w:hAnsi="Noto Sans CJK SC" w:eastAsia="Noto Sans CJK SC"/>
          <w:color w:val="0B2545"/>
          <w:sz w:val="22"/>
        </w:rPr>
        <w:t>数据质量报告：覆盖、准确、重复、时效、可追溯和问题关闭；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Noto Sans CJK SC" w:hAnsi="Noto Sans CJK SC" w:eastAsia="Noto Sans CJK SC"/>
          <w:color w:val="0B2545"/>
          <w:sz w:val="22"/>
        </w:rPr>
        <w:t>RAG候选资料包：可用于AI的发布文档、权限、切分和引用定位；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Noto Sans CJK SC" w:hAnsi="Noto Sans CJK SC" w:eastAsia="Noto Sans CJK SC"/>
          <w:color w:val="0B2545"/>
          <w:sz w:val="22"/>
        </w:rPr>
        <w:t>产品开发样本：国家详情、2—4国比较、政策、项目、招标、伙伴、搜索、评分和AI问答样本；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Noto Sans CJK SC" w:hAnsi="Noto Sans CJK SC" w:eastAsia="Noto Sans CJK SC"/>
          <w:color w:val="0B2545"/>
          <w:sz w:val="22"/>
        </w:rPr>
        <w:t>验收与移交材料：D4评分表、证据索引、批准记录和V0.1交接清单。</w:t>
      </w:r>
    </w:p>
    <w:p>
      <w:pPr>
        <w:pStyle w:val="Heading1"/>
      </w:pPr>
      <w:r>
        <w:t>13. 向V0.1开发移交</w:t>
      </w:r>
    </w:p>
    <w:p>
      <w:r>
        <w:rPr>
          <w:rFonts w:ascii="Noto Sans CJK SC" w:hAnsi="Noto Sans CJK SC" w:eastAsia="Noto Sans CJK SC"/>
          <w:color w:val="0B2545"/>
          <w:sz w:val="22"/>
        </w:rPr>
        <w:t>D4通过后，数据团队向研发移交：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CJK SC" w:hAnsi="Noto Sans CJK SC" w:eastAsia="Noto Sans CJK SC"/>
          <w:color w:val="0B2545"/>
          <w:sz w:val="22"/>
        </w:rPr>
        <w:t>数据库种子包和迁移版本；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CJK SC" w:hAnsi="Noto Sans CJK SC" w:eastAsia="Noto Sans CJK SC"/>
          <w:color w:val="0B2545"/>
          <w:sz w:val="22"/>
        </w:rPr>
        <w:t>数据字典、枚举和JSON Schema；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CJK SC" w:hAnsi="Noto Sans CJK SC" w:eastAsia="Noto Sans CJK SC"/>
          <w:color w:val="0B2545"/>
          <w:sz w:val="22"/>
        </w:rPr>
        <w:t>只读查询视图或正式API契约样本；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CJK SC" w:hAnsi="Noto Sans CJK SC" w:eastAsia="Noto Sans CJK SC"/>
          <w:color w:val="0B2545"/>
          <w:sz w:val="22"/>
        </w:rPr>
        <w:t>关键页面的真实对象ID和测试账号范围；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CJK SC" w:hAnsi="Noto Sans CJK SC" w:eastAsia="Noto Sans CJK SC"/>
          <w:color w:val="0B2545"/>
          <w:sz w:val="22"/>
        </w:rPr>
        <w:t>搜索索引和RAG索引重建输入；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CJK SC" w:hAnsi="Noto Sans CJK SC" w:eastAsia="Noto Sans CJK SC"/>
          <w:color w:val="0B2545"/>
          <w:sz w:val="22"/>
        </w:rPr>
        <w:t>评分模型有效版本及金标准结果；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CJK SC" w:hAnsi="Noto Sans CJK SC" w:eastAsia="Noto Sans CJK SC"/>
          <w:color w:val="0B2545"/>
          <w:sz w:val="22"/>
        </w:rPr>
        <w:t>权限、来源、发布、过期和撤权样本；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CJK SC" w:hAnsi="Noto Sans CJK SC" w:eastAsia="Noto Sans CJK SC"/>
          <w:color w:val="0B2545"/>
          <w:sz w:val="22"/>
        </w:rPr>
        <w:t>已知限制、缺失域、质量问题和下一采集周期。</w:t>
      </w:r>
    </w:p>
    <w:p>
      <w:r>
        <w:rPr>
          <w:rFonts w:ascii="Noto Sans CJK SC" w:hAnsi="Noto Sans CJK SC" w:eastAsia="Noto Sans CJK SC"/>
          <w:color w:val="0B2545"/>
          <w:sz w:val="22"/>
        </w:rPr>
        <w:t>研发必须使用这些真实样本完成V0.1，不得重新创建与正式字段脱节的Mock模型。确需构造边界样本时，应标记</w:t>
      </w:r>
      <w:r>
        <w:rPr>
          <w:rFonts w:ascii="DejaVu Sans Mono" w:hAnsi="DejaVu Sans Mono" w:eastAsia="DejaVu Sans Mono"/>
          <w:color w:val="1F4E78"/>
          <w:sz w:val="18"/>
        </w:rPr>
        <w:t>synthetic=true</w:t>
      </w:r>
      <w:r>
        <w:rPr>
          <w:rFonts w:ascii="Noto Sans CJK SC" w:hAnsi="Noto Sans CJK SC" w:eastAsia="Noto Sans CJK SC"/>
          <w:color w:val="0B2545"/>
          <w:sz w:val="22"/>
        </w:rPr>
        <w:t>，只能用于测试，不得进入业务统计、对外展示或AI知识库。</w:t>
      </w:r>
    </w:p>
    <w:p>
      <w:pPr>
        <w:pStyle w:val="Heading1"/>
      </w:pPr>
      <w:r>
        <w:t>14. 启动清单</w:t>
      </w:r>
    </w:p>
    <w:p>
      <w:r>
        <w:rPr>
          <w:rFonts w:ascii="Noto Sans CJK SC" w:hAnsi="Noto Sans CJK SC" w:eastAsia="Noto Sans CJK SC"/>
          <w:color w:val="0B2545"/>
          <w:sz w:val="22"/>
        </w:rPr>
        <w:t>在执行第1天前确认：</w:t>
      </w:r>
    </w:p>
    <w:p>
      <w:pPr>
        <w:spacing w:after="80" w:line="300" w:lineRule="auto"/>
        <w:ind w:left="540" w:hanging="270"/>
      </w:pPr>
      <w:r>
        <w:rPr>
          <w:rFonts w:ascii="Noto Sans CJK SC" w:hAnsi="Noto Sans CJK SC" w:eastAsia="Noto Sans CJK SC"/>
          <w:color w:val="0B2545"/>
          <w:sz w:val="22"/>
        </w:rPr>
        <w:t>☐ 数据负责人和D4批准人已明确；</w:t>
      </w:r>
    </w:p>
    <w:p>
      <w:pPr>
        <w:spacing w:after="80" w:line="300" w:lineRule="auto"/>
        <w:ind w:left="540" w:hanging="270"/>
      </w:pPr>
      <w:r>
        <w:rPr>
          <w:rFonts w:ascii="Noto Sans CJK SC" w:hAnsi="Noto Sans CJK SC" w:eastAsia="Noto Sans CJK SC"/>
          <w:color w:val="0B2545"/>
          <w:sz w:val="22"/>
        </w:rPr>
        <w:t>☐ 五国范围和核心字段集已批准；</w:t>
      </w:r>
    </w:p>
    <w:p>
      <w:pPr>
        <w:spacing w:after="80" w:line="300" w:lineRule="auto"/>
        <w:ind w:left="540" w:hanging="270"/>
      </w:pPr>
      <w:r>
        <w:rPr>
          <w:rFonts w:ascii="Noto Sans CJK SC" w:hAnsi="Noto Sans CJK SC" w:eastAsia="Noto Sans CJK SC"/>
          <w:color w:val="0B2545"/>
          <w:sz w:val="22"/>
        </w:rPr>
        <w:t>☐ 原始、处理中和发布环境已隔离；</w:t>
      </w:r>
    </w:p>
    <w:p>
      <w:pPr>
        <w:spacing w:after="80" w:line="300" w:lineRule="auto"/>
        <w:ind w:left="540" w:hanging="270"/>
      </w:pPr>
      <w:r>
        <w:rPr>
          <w:rFonts w:ascii="Noto Sans CJK SC" w:hAnsi="Noto Sans CJK SC" w:eastAsia="Noto Sans CJK SC"/>
          <w:color w:val="0B2545"/>
          <w:sz w:val="22"/>
        </w:rPr>
        <w:t>☐ 来源登记、采集批次、原始文件、字段映射、审核和D4模板可用；</w:t>
      </w:r>
    </w:p>
    <w:p>
      <w:pPr>
        <w:spacing w:after="80" w:line="300" w:lineRule="auto"/>
        <w:ind w:left="540" w:hanging="270"/>
      </w:pPr>
      <w:r>
        <w:rPr>
          <w:rFonts w:ascii="Noto Sans CJK SC" w:hAnsi="Noto Sans CJK SC" w:eastAsia="Noto Sans CJK SC"/>
          <w:color w:val="0B2545"/>
          <w:sz w:val="22"/>
        </w:rPr>
        <w:t>☐ 哈希、日志、备份、访问权限和审计已配置；</w:t>
      </w:r>
    </w:p>
    <w:p>
      <w:pPr>
        <w:spacing w:after="80" w:line="300" w:lineRule="auto"/>
        <w:ind w:left="540" w:hanging="270"/>
      </w:pPr>
      <w:r>
        <w:rPr>
          <w:rFonts w:ascii="Noto Sans CJK SC" w:hAnsi="Noto Sans CJK SC" w:eastAsia="Noto Sans CJK SC"/>
          <w:color w:val="0B2545"/>
          <w:sz w:val="22"/>
        </w:rPr>
        <w:t>☐ 合规复核渠道和P0升级联系人已明确；</w:t>
      </w:r>
    </w:p>
    <w:p>
      <w:pPr>
        <w:spacing w:after="80" w:line="300" w:lineRule="auto"/>
        <w:ind w:left="540" w:hanging="270"/>
      </w:pPr>
      <w:r>
        <w:rPr>
          <w:rFonts w:ascii="Noto Sans CJK SC" w:hAnsi="Noto Sans CJK SC" w:eastAsia="Noto Sans CJK SC"/>
          <w:color w:val="0B2545"/>
          <w:sz w:val="22"/>
        </w:rPr>
        <w:t>☐ 多语言审校资源和术语表已准备；</w:t>
      </w:r>
    </w:p>
    <w:p>
      <w:pPr>
        <w:spacing w:after="80" w:line="300" w:lineRule="auto"/>
        <w:ind w:left="540" w:hanging="270"/>
      </w:pPr>
      <w:r>
        <w:rPr>
          <w:rFonts w:ascii="Noto Sans CJK SC" w:hAnsi="Noto Sans CJK SC" w:eastAsia="Noto Sans CJK SC"/>
          <w:color w:val="0B2545"/>
          <w:sz w:val="22"/>
        </w:rPr>
        <w:t>☐ 每周覆盖与质量报告时间已确定；</w:t>
      </w:r>
    </w:p>
    <w:p>
      <w:pPr>
        <w:spacing w:after="80" w:line="300" w:lineRule="auto"/>
        <w:ind w:left="540" w:hanging="270"/>
      </w:pPr>
      <w:r>
        <w:rPr>
          <w:rFonts w:ascii="Noto Sans CJK SC" w:hAnsi="Noto Sans CJK SC" w:eastAsia="Noto Sans CJK SC"/>
          <w:color w:val="0B2545"/>
          <w:sz w:val="22"/>
        </w:rPr>
        <w:t>☐ V0.1团队接受D4强制门禁；</w:t>
      </w:r>
    </w:p>
    <w:p>
      <w:pPr>
        <w:spacing w:after="80" w:line="300" w:lineRule="auto"/>
        <w:ind w:left="540" w:hanging="270"/>
      </w:pPr>
      <w:r>
        <w:rPr>
          <w:rFonts w:ascii="Noto Sans CJK SC" w:hAnsi="Noto Sans CJK SC" w:eastAsia="Noto Sans CJK SC"/>
          <w:color w:val="0B2545"/>
          <w:sz w:val="22"/>
        </w:rPr>
        <w:t>☐ 临时工具的范围、账号、环境和退役日期已登记。</w:t>
      </w:r>
    </w:p>
    <w:p>
      <w:pPr>
        <w:pStyle w:val="Heading1"/>
      </w:pPr>
      <w:r>
        <w:t>D4批准与V0.1启动签署</w:t>
      </w:r>
    </w:p>
    <w:p>
      <w:r>
        <w:rPr>
          <w:rFonts w:ascii="Noto Sans CJK SC" w:hAnsi="Noto Sans CJK SC" w:eastAsia="Noto Sans CJK SC"/>
          <w:color w:val="0B2545"/>
          <w:sz w:val="22"/>
        </w:rPr>
        <w:t>以下签署仅在《D4验收清单》全部硬门满足、证据索引可访问且总分达到要求后生效。</w:t>
      </w:r>
    </w:p>
    <w:tbl>
      <w:tblPr>
        <w:tblStyle w:val="TableGrid"/>
        <w:jc w:val="center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700"/>
        <w:gridCol w:w="2400"/>
        <w:gridCol w:w="3560"/>
        <w:gridCol w:w="1700"/>
      </w:tblGrid>
      <w:tr>
        <w:trPr>
          <w:cantSplit/>
        </w:trPr>
        <w:tc>
          <w:tcPr>
            <w:tcW w:type="dxa" w:w="1700"/>
            <w:tcMar>
              <w:top w:w="140" w:type="dxa"/>
              <w:start w:w="120" w:type="dxa"/>
              <w:bottom w:w="14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角色</w:t>
            </w:r>
          </w:p>
        </w:tc>
        <w:tc>
          <w:tcPr>
            <w:tcW w:type="dxa" w:w="2400"/>
            <w:tcMar>
              <w:top w:w="140" w:type="dxa"/>
              <w:start w:w="120" w:type="dxa"/>
              <w:bottom w:w="14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姓名/签字</w:t>
            </w:r>
          </w:p>
        </w:tc>
        <w:tc>
          <w:tcPr>
            <w:tcW w:type="dxa" w:w="3560"/>
            <w:tcMar>
              <w:top w:w="140" w:type="dxa"/>
              <w:start w:w="120" w:type="dxa"/>
              <w:bottom w:w="14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结论</w:t>
            </w:r>
          </w:p>
        </w:tc>
        <w:tc>
          <w:tcPr>
            <w:tcW w:type="dxa" w:w="1700"/>
            <w:tcMar>
              <w:top w:w="140" w:type="dxa"/>
              <w:start w:w="120" w:type="dxa"/>
              <w:bottom w:w="14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日期</w:t>
            </w:r>
          </w:p>
        </w:tc>
      </w:tr>
      <w:tr>
        <w:trPr>
          <w:cantSplit/>
        </w:trPr>
        <w:tc>
          <w:tcPr>
            <w:tcW w:type="dxa" w:w="1700"/>
            <w:tcMar>
              <w:top w:w="140" w:type="dxa"/>
              <w:start w:w="120" w:type="dxa"/>
              <w:bottom w:w="14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8"/>
              </w:rPr>
              <w:t>数据负责人</w:t>
            </w:r>
          </w:p>
        </w:tc>
        <w:tc>
          <w:tcPr>
            <w:tcW w:type="dxa" w:w="2400"/>
            <w:tcMar>
              <w:top w:w="140" w:type="dxa"/>
              <w:start w:w="120" w:type="dxa"/>
              <w:bottom w:w="14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8"/>
              </w:rPr>
            </w:r>
          </w:p>
        </w:tc>
        <w:tc>
          <w:tcPr>
            <w:tcW w:type="dxa" w:w="3560"/>
            <w:tcMar>
              <w:top w:w="140" w:type="dxa"/>
              <w:start w:w="120" w:type="dxa"/>
              <w:bottom w:w="14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8"/>
              </w:rPr>
              <w:t>通过 / 有条件通过 / 不通过</w:t>
            </w:r>
          </w:p>
        </w:tc>
        <w:tc>
          <w:tcPr>
            <w:tcW w:type="dxa" w:w="1700"/>
            <w:tcMar>
              <w:top w:w="140" w:type="dxa"/>
              <w:start w:w="120" w:type="dxa"/>
              <w:bottom w:w="14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8"/>
              </w:rPr>
            </w:r>
          </w:p>
        </w:tc>
      </w:tr>
      <w:tr>
        <w:trPr>
          <w:cantSplit/>
        </w:trPr>
        <w:tc>
          <w:tcPr>
            <w:tcW w:type="dxa" w:w="1700"/>
            <w:tcMar>
              <w:top w:w="140" w:type="dxa"/>
              <w:start w:w="120" w:type="dxa"/>
              <w:bottom w:w="14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8"/>
              </w:rPr>
              <w:t>产品/业务负责人</w:t>
            </w:r>
          </w:p>
        </w:tc>
        <w:tc>
          <w:tcPr>
            <w:tcW w:type="dxa" w:w="2400"/>
            <w:tcMar>
              <w:top w:w="140" w:type="dxa"/>
              <w:start w:w="120" w:type="dxa"/>
              <w:bottom w:w="14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8"/>
              </w:rPr>
            </w:r>
          </w:p>
        </w:tc>
        <w:tc>
          <w:tcPr>
            <w:tcW w:type="dxa" w:w="3560"/>
            <w:tcMar>
              <w:top w:w="140" w:type="dxa"/>
              <w:start w:w="120" w:type="dxa"/>
              <w:bottom w:w="14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8"/>
              </w:rPr>
              <w:t>同意 / 不同意启动V0.1</w:t>
            </w:r>
          </w:p>
        </w:tc>
        <w:tc>
          <w:tcPr>
            <w:tcW w:type="dxa" w:w="1700"/>
            <w:tcMar>
              <w:top w:w="140" w:type="dxa"/>
              <w:start w:w="120" w:type="dxa"/>
              <w:bottom w:w="14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8"/>
              </w:rPr>
            </w:r>
          </w:p>
        </w:tc>
      </w:tr>
      <w:tr>
        <w:trPr>
          <w:cantSplit/>
        </w:trPr>
        <w:tc>
          <w:tcPr>
            <w:tcW w:type="dxa" w:w="1700"/>
            <w:tcMar>
              <w:top w:w="140" w:type="dxa"/>
              <w:start w:w="120" w:type="dxa"/>
              <w:bottom w:w="14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8"/>
              </w:rPr>
              <w:t>项目批准人</w:t>
            </w:r>
          </w:p>
        </w:tc>
        <w:tc>
          <w:tcPr>
            <w:tcW w:type="dxa" w:w="2400"/>
            <w:tcMar>
              <w:top w:w="140" w:type="dxa"/>
              <w:start w:w="120" w:type="dxa"/>
              <w:bottom w:w="14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8"/>
              </w:rPr>
            </w:r>
          </w:p>
        </w:tc>
        <w:tc>
          <w:tcPr>
            <w:tcW w:type="dxa" w:w="3560"/>
            <w:tcMar>
              <w:top w:w="140" w:type="dxa"/>
              <w:start w:w="120" w:type="dxa"/>
              <w:bottom w:w="14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8"/>
              </w:rPr>
              <w:t>批准 / 暂缓</w:t>
            </w:r>
          </w:p>
        </w:tc>
        <w:tc>
          <w:tcPr>
            <w:tcW w:type="dxa" w:w="1700"/>
            <w:tcMar>
              <w:top w:w="140" w:type="dxa"/>
              <w:start w:w="120" w:type="dxa"/>
              <w:bottom w:w="14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B2545"/>
                <w:sz w:val="18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  <w:color w:val="5B6573"/>
        <w:sz w:val="17"/>
      </w:rPr>
      <w:t xml:space="preserve">V1.0-BASELINE  ·  第 </w:t>
      <w:fldChar w:fldCharType="begin"/>
      <w:instrText xml:space="preserve"> PAGE </w:instrText>
      <w:fldChar w:fldCharType="end"/>
    </w:r>
    <w:r>
      <w:rPr>
        <w:rFonts w:ascii="Noto Sans CJK SC" w:hAnsi="Noto Sans CJK SC" w:eastAsia="Noto Sans CJK SC"/>
        <w:color w:val="5B6573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Noto Sans CJK SC" w:hAnsi="Noto Sans CJK SC" w:eastAsia="Noto Sans CJK SC"/>
        <w:b/>
        <w:color w:val="5B6573"/>
        <w:sz w:val="17"/>
      </w:rPr>
      <w:t>新能源企业出海导航仪｜首批数据采集实施方案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Noto Sans CJK SC" w:hAnsi="Noto Sans CJK SC" w:eastAsia="Noto Sans CJK SC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Noto Sans CJK SC" w:hAnsi="Noto Sans CJK SC" w:eastAsia="Noto Sans CJK SC"/>
      </w:r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Noto Sans CJK SC" w:hAnsi="Noto Sans CJK SC" w:eastAsia="Noto Sans CJK SC"/>
      </w:r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Noto Sans CJK SC" w:hAnsi="Noto Sans CJK SC" w:eastAsia="Noto Sans CJK SC"/>
      </w:rPr>
    </w:lvl>
  </w:abstract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Noto Sans CJK SC" w:hAnsi="Noto Sans CJK SC" w:eastAsia="Noto Sans CJK SC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新能源企业出海导航仪首批数据采集实施方案</dc:title>
  <dc:subject>五国D0—D4数据采集、质量验收与V0.1移交</dc:subject>
  <dc:creator>项目编制组</dc:creator>
  <cp:keywords/>
  <dc:description>设计预设：compact_reference_guide；首屏模板：customer_pack；命名覆盖：CJK_FONT_OVERRIDE=Noto Sans CJK SC；HEADER_METADATA_GRID=bordered operational metadata grid。</dc:description>
  <cp:lastModifiedBy/>
  <cp:revision>1</cp:revision>
  <dcterms:created xsi:type="dcterms:W3CDTF">2013-12-23T23:15:00Z</dcterms:created>
  <dcterms:modified xsi:type="dcterms:W3CDTF">2026-07-30T00:00:00Z</dcterms:modified>
  <cp:category/>
</cp:coreProperties>
</file>