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bidi w:val="0"/>
        <w:ind w:firstLine="883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期货ctp保证金手续费费率查询</w:t>
      </w:r>
    </w:p>
    <w:p>
      <w:pPr>
        <w:rPr>
          <w:rFonts w:ascii="微软雅黑" w:hAnsi="微软雅黑" w:eastAsia="微软雅黑" w:cs="微软雅黑"/>
          <w:i w:val="0"/>
          <w:caps w:val="0"/>
          <w:color w:val="121212"/>
          <w:spacing w:val="0"/>
          <w:sz w:val="24"/>
          <w:szCs w:val="24"/>
          <w:shd w:val="clear" w:fill="FFFFFF"/>
        </w:rPr>
      </w:pPr>
      <w:r>
        <w:rPr>
          <w:rFonts w:hint="eastAsia"/>
          <w:sz w:val="24"/>
          <w:szCs w:val="24"/>
          <w:lang w:val="en-US" w:eastAsia="zh-CN"/>
        </w:rPr>
        <w:t>保证金率涉及到开仓时账户资金的冻结和占用，撤单或平仓则会解冻和解占用。手续费率则是真正要付给期货公司的佣金，而且通常开仓，平昨和平今手续费还各有不同。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查询保证金率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官方文档中涉及到保证金率的接口好几个，这里我们先罗列一下相关的：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</w:t>
      </w:r>
      <w:r>
        <w:rPr>
          <w:rFonts w:hint="default"/>
          <w:sz w:val="24"/>
          <w:szCs w:val="24"/>
          <w:lang w:val="en-US" w:eastAsia="zh-CN"/>
        </w:rPr>
        <w:t>请求查询合约保证金率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ReqQryInstrumentMarginRate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</w:t>
      </w:r>
      <w:r>
        <w:rPr>
          <w:rFonts w:hint="default"/>
          <w:sz w:val="24"/>
          <w:szCs w:val="24"/>
          <w:lang w:val="en-US" w:eastAsia="zh-CN"/>
        </w:rPr>
        <w:t>查询合约的返回中会带每条合约的保证金率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ReqQryInstrument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//请求查询交易所保证金率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ReqQryExchangeMarginRate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//请求查询交易所调整保证金率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ReqQryExchangeMarginRateAdjust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在实际交易中冻结和占用的计算其实是采用第一个查询函数ReqQryInstrumentMarginRate 的返回结果。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ReqQryInstrument中返回的保证金率通常是交易所保证金率，计算中并不用到。ReqQryExchangeMarginRate和ReqQryExchangeMarginRateAdjust查询得到的是交易所相关的保证金率，这也只在计算中间过程中会用到。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这里我们只讲实际计算中用到的ReqQryInstrumentMarginRate查询，其参数类型为CThostFtdcQryInstrumentMarginRateField，具体字段：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必填字段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BrokerID //经纪公司代码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InvestorID //投资者代码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HedgeFlag //投机套保标志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前两者开户时可得到，投机套保标志一般投资者填投机就可以。注意这三个字段是一定要填的，不填的话返回值就为空。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选填字段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InstrumentID //合约代码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如果InstrumentID填空，则返回客户当前持仓对应的合约保证金率，否则返回相应InstrumentID的保证金率。也就是说这个查询和其他查询不一样，如果什么都不填，是不会得到所有的合约保证金率的。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查询手续费率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查手续费的接口也有好几个，罗列如下: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//请求查询合约手续费率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ReqQryInstrumentCommissionRate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//请求查询报单手续费    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ReqQryInstrumentOrderCommRate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在期货交易中，实际计算用到的只有个前面两个函数，其中第一个查询的是合约的手续费率，第二个查询的是报单申报手续费（就是每报撤一次单子都会收一笔费用），目前来说这是中金所特有的。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也就是说中金所的手续费分为两部分，包括交易手续费和申报费两部分，前者可以通过第一个查询函数查到，后者通过第二个查询函数得到。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两个查询函数的参数类型虽然不一样，但是字段填写方法是一致的，这里我们以ReqQryInstrumentCommissionRate为例讲解，参数类型为CThostFtdcQryInstrumentCommissionRateField，具体字段：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必填字段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BrokerID //经纪公司代码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InvestorID //投资者代码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选填字段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InstrumentID //合约代码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如果InstrumentID填空，则返回客户当前持仓对应的合约手续费率，否则返回相应InstrumentID的合约手续费率。和上面查询保证金率的逻辑一样。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查询结果返回值还需要注意几点：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以开仓为例，查询手续费返回结果中有两项关于开仓的字段：OpenRatioByMoney（开仓手续费率）和OpenRatioByVolume（开仓手续费），这是两种计算手续费的方法。实际计算时的开仓手续费公式为：</w:t>
      </w:r>
    </w:p>
    <w:p>
      <w:pPr>
        <w:numPr>
          <w:numId w:val="0"/>
        </w:numPr>
        <w:ind w:left="479" w:leftChars="228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手续费 = 成交数量*（成交价*合约乘数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*OpenRatioByMoney+OpenRatioByVolume）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有时查询某合约（例如IF2009）的手续费时，得到的是其对应品种（例如IF）的手续费。这是因为该品种下所有合约的手续费都是一样的，所以就直接将手续费设到品种级别了。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交易所的手续费率这里查不到，大家可以去交易所官网上看，通常在交易数据/结算参数中。要注意的是大商所手续费中有个短线开平仓的概念，其实就是指今开今平。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>
      <w:pPr>
        <w:rPr>
          <w:rFonts w:hint="eastAsia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ExecuteEngine::ReqCtpInstrumentData()函数可以获取期货合约和保证金费率，手续费数据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>
      <w:pP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生产环境的数据可能和测试环境不一样，在生产环境必须调用</w:t>
      </w:r>
      <w:r>
        <w:rPr>
          <w:rFonts w:hint="eastAsia" w:ascii="新宋体" w:hAnsi="新宋体" w:eastAsia="新宋体"/>
          <w:color w:val="000000"/>
          <w:sz w:val="24"/>
          <w:szCs w:val="24"/>
        </w:rPr>
        <w:t>ReqCtpInstrumentData</w:t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获取数据。</w:t>
      </w:r>
    </w:p>
    <w:p>
      <w:pPr>
        <w:rPr>
          <w:rFonts w:hint="default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发送ctp请求报文的时候，注意发送速度。如果发送的太快，会报错的。</w:t>
      </w:r>
    </w:p>
    <w:p>
      <w:pP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获取到数据后就不要再调用</w:t>
      </w:r>
      <w:r>
        <w:rPr>
          <w:rFonts w:hint="eastAsia" w:ascii="新宋体" w:hAnsi="新宋体" w:eastAsia="新宋体"/>
          <w:color w:val="000000"/>
          <w:sz w:val="24"/>
          <w:szCs w:val="24"/>
        </w:rPr>
        <w:t>ReqCtpInstrumentData</w:t>
      </w:r>
      <w:r>
        <w:rPr>
          <w:rFonts w:hint="eastAsia" w:ascii="新宋体" w:hAnsi="新宋体" w:eastAsia="新宋体"/>
          <w:color w:val="000000"/>
          <w:sz w:val="24"/>
          <w:szCs w:val="24"/>
          <w:lang w:eastAsia="zh-CN"/>
        </w:rPr>
        <w:t>。</w:t>
      </w:r>
    </w:p>
    <w:p>
      <w:pP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不要多次调用</w:t>
      </w:r>
      <w:r>
        <w:rPr>
          <w:rFonts w:hint="eastAsia" w:ascii="新宋体" w:hAnsi="新宋体" w:eastAsia="新宋体"/>
          <w:color w:val="000000"/>
          <w:sz w:val="24"/>
          <w:szCs w:val="24"/>
        </w:rPr>
        <w:t>ReqCtpInstrumentData</w:t>
      </w:r>
      <w:r>
        <w:rPr>
          <w:rFonts w:hint="eastAsia" w:ascii="新宋体" w:hAnsi="新宋体" w:eastAsia="新宋体"/>
          <w:color w:val="000000"/>
          <w:sz w:val="24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多次调用会导致数据表数据重复</w:t>
      </w:r>
    </w:p>
    <w:p>
      <w:pPr>
        <w:rPr>
          <w:rFonts w:hint="default" w:ascii="新宋体" w:hAnsi="新宋体" w:eastAsia="新宋体"/>
          <w:color w:val="000000"/>
          <w:sz w:val="19"/>
          <w:lang w:val="en-US" w:eastAsia="zh-CN"/>
        </w:rPr>
      </w:pPr>
    </w:p>
    <w:p>
      <w:pPr>
        <w:rPr>
          <w:rFonts w:hint="eastAsia"/>
        </w:rPr>
      </w:pPr>
    </w:p>
    <w:p>
      <w:pPr>
        <w:pStyle w:val="3"/>
        <w:bidi w:val="0"/>
        <w:rPr>
          <w:rFonts w:hint="default" w:eastAsia="新宋体"/>
          <w:lang w:val="en-US" w:eastAsia="zh-CN"/>
        </w:rPr>
      </w:pPr>
      <w:r>
        <w:rPr>
          <w:rFonts w:hint="eastAsia"/>
          <w:lang w:val="en-US" w:eastAsia="zh-CN"/>
        </w:rPr>
        <w:t>ExecuteEngine::ReqCtpInstrumentData()函数</w:t>
      </w:r>
      <w:r>
        <w:rPr>
          <w:rFonts w:hint="eastAsia" w:eastAsia="新宋体"/>
          <w:lang w:val="en-US" w:eastAsia="zh-CN"/>
        </w:rPr>
        <w:t>流程：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清空数据表，调用</w:t>
      </w:r>
      <w:r>
        <w:rPr>
          <w:rFonts w:hint="eastAsia" w:ascii="新宋体" w:hAnsi="新宋体" w:eastAsia="新宋体"/>
          <w:color w:val="000000"/>
          <w:sz w:val="24"/>
          <w:szCs w:val="24"/>
        </w:rPr>
        <w:t>ReqQryInstrument()</w:t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查询合约</w:t>
      </w:r>
    </w:p>
    <w:p>
      <w:pP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收到合约数据后，在</w:t>
      </w:r>
      <w:r>
        <w:rPr>
          <w:rFonts w:hint="eastAsia" w:ascii="新宋体" w:hAnsi="新宋体" w:eastAsia="新宋体"/>
          <w:color w:val="2B91AF"/>
          <w:sz w:val="24"/>
          <w:szCs w:val="24"/>
        </w:rPr>
        <w:t>ExecuteEngine</w:t>
      </w:r>
      <w:r>
        <w:rPr>
          <w:rFonts w:hint="eastAsia" w:ascii="新宋体" w:hAnsi="新宋体" w:eastAsia="新宋体"/>
          <w:color w:val="000000"/>
          <w:sz w:val="24"/>
          <w:szCs w:val="24"/>
        </w:rPr>
        <w:t>::HandleQueryInstrumentRsp</w:t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中存储到数据库</w:t>
      </w:r>
    </w:p>
    <w:p>
      <w:pP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加载数据库中的合约。</w:t>
      </w:r>
    </w:p>
    <w:p>
      <w:pP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根据合约，调用</w:t>
      </w:r>
      <w:r>
        <w:rPr>
          <w:rFonts w:hint="eastAsia" w:ascii="新宋体" w:hAnsi="新宋体" w:eastAsia="新宋体"/>
          <w:color w:val="000000"/>
          <w:sz w:val="24"/>
          <w:szCs w:val="24"/>
        </w:rPr>
        <w:t>ReqQryInstrumentMarginRate</w:t>
      </w:r>
      <w:r>
        <w:rPr>
          <w:rFonts w:hint="eastAsia" w:ascii="新宋体" w:hAnsi="新宋体" w:eastAsia="新宋体"/>
          <w:color w:val="000000"/>
          <w:sz w:val="24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查询保证金费率</w:t>
      </w:r>
    </w:p>
    <w:p>
      <w:pP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根据合约，调用</w:t>
      </w:r>
      <w:r>
        <w:rPr>
          <w:rFonts w:hint="eastAsia" w:ascii="新宋体" w:hAnsi="新宋体" w:eastAsia="新宋体"/>
          <w:color w:val="000000"/>
          <w:sz w:val="24"/>
          <w:szCs w:val="24"/>
        </w:rPr>
        <w:t>ReqQryInstrumentCommissionRate</w:t>
      </w:r>
      <w:r>
        <w:rPr>
          <w:rFonts w:hint="eastAsia" w:ascii="新宋体" w:hAnsi="新宋体" w:eastAsia="新宋体"/>
          <w:color w:val="000000"/>
          <w:sz w:val="24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查询手续费</w:t>
      </w:r>
    </w:p>
    <w:p>
      <w:pP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根据合约，调用</w:t>
      </w:r>
      <w:r>
        <w:rPr>
          <w:rFonts w:hint="eastAsia" w:ascii="新宋体" w:hAnsi="新宋体" w:eastAsia="新宋体"/>
          <w:color w:val="000000"/>
          <w:sz w:val="24"/>
          <w:szCs w:val="24"/>
        </w:rPr>
        <w:t>ReqQryInstrumentOrderCommRate</w:t>
      </w:r>
      <w:r>
        <w:rPr>
          <w:rFonts w:hint="eastAsia" w:ascii="新宋体" w:hAnsi="新宋体" w:eastAsia="新宋体"/>
          <w:color w:val="000000"/>
          <w:sz w:val="24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查询报撤单费用。</w:t>
      </w:r>
    </w:p>
    <w:p>
      <w:pP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接收到的数据，在下面的</w:t>
      </w:r>
      <w:r>
        <w:rPr>
          <w:rFonts w:hint="eastAsia" w:ascii="新宋体" w:hAnsi="新宋体" w:eastAsia="新宋体"/>
          <w:color w:val="2B91AF"/>
          <w:sz w:val="24"/>
          <w:szCs w:val="24"/>
        </w:rPr>
        <w:t>ExecuteEngine</w:t>
      </w:r>
      <w:r>
        <w:rPr>
          <w:rFonts w:hint="eastAsia" w:ascii="新宋体" w:hAnsi="新宋体" w:eastAsia="新宋体"/>
          <w:color w:val="2B91AF"/>
          <w:sz w:val="24"/>
          <w:szCs w:val="24"/>
          <w:lang w:val="en-US" w:eastAsia="zh-CN"/>
        </w:rPr>
        <w:t>类的</w:t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函数中处理，并且存入数据库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00"/>
          <w:sz w:val="24"/>
          <w:szCs w:val="24"/>
        </w:rPr>
        <w:tab/>
      </w:r>
      <w:r>
        <w:rPr>
          <w:rFonts w:hint="eastAsia" w:ascii="新宋体" w:hAnsi="新宋体" w:eastAsia="新宋体"/>
          <w:color w:val="008000"/>
          <w:sz w:val="24"/>
          <w:szCs w:val="24"/>
        </w:rPr>
        <w:t>//查询合约保证金率响应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00"/>
          <w:sz w:val="24"/>
          <w:szCs w:val="24"/>
        </w:rPr>
        <w:tab/>
      </w:r>
      <w:r>
        <w:rPr>
          <w:rFonts w:hint="eastAsia" w:ascii="新宋体" w:hAnsi="新宋体" w:eastAsia="新宋体"/>
          <w:color w:val="0000FF"/>
          <w:sz w:val="24"/>
          <w:szCs w:val="24"/>
        </w:rPr>
        <w:t>void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HandleQueryInstrumentMarginRateRsp(</w:t>
      </w:r>
      <w:r>
        <w:rPr>
          <w:rFonts w:hint="eastAsia" w:ascii="新宋体" w:hAnsi="新宋体" w:eastAsia="新宋体"/>
          <w:color w:val="2B91AF"/>
          <w:sz w:val="24"/>
          <w:szCs w:val="24"/>
        </w:rPr>
        <w:t>TdResponse</w:t>
      </w:r>
      <w:r>
        <w:rPr>
          <w:rFonts w:hint="eastAsia" w:ascii="新宋体" w:hAnsi="新宋体" w:eastAsia="新宋体"/>
          <w:color w:val="000000"/>
          <w:sz w:val="24"/>
          <w:szCs w:val="24"/>
        </w:rPr>
        <w:t>&lt;</w:t>
      </w:r>
      <w:r>
        <w:rPr>
          <w:rFonts w:hint="eastAsia" w:ascii="新宋体" w:hAnsi="新宋体" w:eastAsia="新宋体"/>
          <w:color w:val="2B91AF"/>
          <w:sz w:val="24"/>
          <w:szCs w:val="24"/>
        </w:rPr>
        <w:t>InstrumentMarginRate</w:t>
      </w:r>
      <w:r>
        <w:rPr>
          <w:rFonts w:hint="eastAsia" w:ascii="新宋体" w:hAnsi="新宋体" w:eastAsia="新宋体"/>
          <w:color w:val="000000"/>
          <w:sz w:val="24"/>
          <w:szCs w:val="24"/>
        </w:rPr>
        <w:t>&gt; &amp;</w:t>
      </w:r>
      <w:r>
        <w:rPr>
          <w:rFonts w:hint="eastAsia" w:ascii="新宋体" w:hAnsi="新宋体" w:eastAsia="新宋体"/>
          <w:color w:val="808080"/>
          <w:sz w:val="24"/>
          <w:szCs w:val="24"/>
        </w:rPr>
        <w:t>TdResponse</w:t>
      </w:r>
      <w:r>
        <w:rPr>
          <w:rFonts w:hint="eastAsia" w:ascii="新宋体" w:hAnsi="新宋体" w:eastAsia="新宋体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00"/>
          <w:sz w:val="24"/>
          <w:szCs w:val="24"/>
        </w:rPr>
        <w:tab/>
      </w:r>
      <w:r>
        <w:rPr>
          <w:rFonts w:hint="eastAsia" w:ascii="新宋体" w:hAnsi="新宋体" w:eastAsia="新宋体"/>
          <w:color w:val="008000"/>
          <w:sz w:val="24"/>
          <w:szCs w:val="24"/>
        </w:rPr>
        <w:t>//查询合约手续费率响应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00"/>
          <w:sz w:val="24"/>
          <w:szCs w:val="24"/>
        </w:rPr>
        <w:tab/>
      </w:r>
      <w:r>
        <w:rPr>
          <w:rFonts w:hint="eastAsia" w:ascii="新宋体" w:hAnsi="新宋体" w:eastAsia="新宋体"/>
          <w:color w:val="0000FF"/>
          <w:sz w:val="24"/>
          <w:szCs w:val="24"/>
        </w:rPr>
        <w:t>void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HandleQueryInstrumentCommissionRateRsp(</w:t>
      </w:r>
      <w:r>
        <w:rPr>
          <w:rFonts w:hint="eastAsia" w:ascii="新宋体" w:hAnsi="新宋体" w:eastAsia="新宋体"/>
          <w:color w:val="2B91AF"/>
          <w:sz w:val="24"/>
          <w:szCs w:val="24"/>
        </w:rPr>
        <w:t>TdResponse</w:t>
      </w:r>
      <w:r>
        <w:rPr>
          <w:rFonts w:hint="eastAsia" w:ascii="新宋体" w:hAnsi="新宋体" w:eastAsia="新宋体"/>
          <w:color w:val="000000"/>
          <w:sz w:val="24"/>
          <w:szCs w:val="24"/>
        </w:rPr>
        <w:t>&lt;</w:t>
      </w:r>
      <w:r>
        <w:rPr>
          <w:rFonts w:hint="eastAsia" w:ascii="新宋体" w:hAnsi="新宋体" w:eastAsia="新宋体"/>
          <w:color w:val="2B91AF"/>
          <w:sz w:val="24"/>
          <w:szCs w:val="24"/>
        </w:rPr>
        <w:t>InstrumentCommissionRate</w:t>
      </w:r>
      <w:r>
        <w:rPr>
          <w:rFonts w:hint="eastAsia" w:ascii="新宋体" w:hAnsi="新宋体" w:eastAsia="新宋体"/>
          <w:color w:val="000000"/>
          <w:sz w:val="24"/>
          <w:szCs w:val="24"/>
        </w:rPr>
        <w:t>&gt; &amp;</w:t>
      </w:r>
      <w:r>
        <w:rPr>
          <w:rFonts w:hint="eastAsia" w:ascii="新宋体" w:hAnsi="新宋体" w:eastAsia="新宋体"/>
          <w:color w:val="808080"/>
          <w:sz w:val="24"/>
          <w:szCs w:val="24"/>
        </w:rPr>
        <w:t>TdResponse</w:t>
      </w:r>
      <w:r>
        <w:rPr>
          <w:rFonts w:hint="eastAsia" w:ascii="新宋体" w:hAnsi="新宋体" w:eastAsia="新宋体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4"/>
          <w:szCs w:val="24"/>
        </w:rPr>
      </w:pPr>
      <w:r>
        <w:rPr>
          <w:rFonts w:hint="eastAsia" w:ascii="新宋体" w:hAnsi="新宋体" w:eastAsia="新宋体"/>
          <w:color w:val="000000"/>
          <w:sz w:val="24"/>
          <w:szCs w:val="24"/>
        </w:rPr>
        <w:tab/>
      </w:r>
      <w:r>
        <w:rPr>
          <w:rFonts w:hint="eastAsia" w:ascii="新宋体" w:hAnsi="新宋体" w:eastAsia="新宋体"/>
          <w:color w:val="006400"/>
          <w:sz w:val="24"/>
          <w:szCs w:val="24"/>
        </w:rPr>
        <w:t>///查询报单手续费响应</w:t>
      </w:r>
    </w:p>
    <w:p>
      <w:pPr>
        <w:rPr>
          <w:rFonts w:hint="default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</w:rPr>
        <w:tab/>
      </w:r>
      <w:r>
        <w:rPr>
          <w:rFonts w:hint="eastAsia" w:ascii="新宋体" w:hAnsi="新宋体" w:eastAsia="新宋体"/>
          <w:color w:val="0000FF"/>
          <w:sz w:val="24"/>
          <w:szCs w:val="24"/>
        </w:rPr>
        <w:t>void</w:t>
      </w:r>
      <w:r>
        <w:rPr>
          <w:rFonts w:hint="eastAsia" w:ascii="新宋体" w:hAnsi="新宋体" w:eastAsia="新宋体"/>
          <w:color w:val="000000"/>
          <w:sz w:val="24"/>
          <w:szCs w:val="24"/>
        </w:rPr>
        <w:t xml:space="preserve"> HandleQueryInstrumentOrderCommRateRsp(</w:t>
      </w:r>
      <w:r>
        <w:rPr>
          <w:rFonts w:hint="eastAsia" w:ascii="新宋体" w:hAnsi="新宋体" w:eastAsia="新宋体"/>
          <w:color w:val="2B91AF"/>
          <w:sz w:val="24"/>
          <w:szCs w:val="24"/>
        </w:rPr>
        <w:t>TdResponse</w:t>
      </w:r>
      <w:r>
        <w:rPr>
          <w:rFonts w:hint="eastAsia" w:ascii="新宋体" w:hAnsi="新宋体" w:eastAsia="新宋体"/>
          <w:color w:val="000000"/>
          <w:sz w:val="24"/>
          <w:szCs w:val="24"/>
        </w:rPr>
        <w:t>&lt;</w:t>
      </w:r>
      <w:r>
        <w:rPr>
          <w:rFonts w:hint="eastAsia" w:ascii="新宋体" w:hAnsi="新宋体" w:eastAsia="新宋体"/>
          <w:color w:val="2B91AF"/>
          <w:sz w:val="24"/>
          <w:szCs w:val="24"/>
        </w:rPr>
        <w:t>InstrumentOrderCommRate</w:t>
      </w:r>
      <w:r>
        <w:rPr>
          <w:rFonts w:hint="eastAsia" w:ascii="新宋体" w:hAnsi="新宋体" w:eastAsia="新宋体"/>
          <w:color w:val="000000"/>
          <w:sz w:val="24"/>
          <w:szCs w:val="24"/>
        </w:rPr>
        <w:t>&gt; &amp;</w:t>
      </w:r>
      <w:r>
        <w:rPr>
          <w:rFonts w:hint="eastAsia" w:ascii="新宋体" w:hAnsi="新宋体" w:eastAsia="新宋体"/>
          <w:color w:val="808080"/>
          <w:sz w:val="24"/>
          <w:szCs w:val="24"/>
        </w:rPr>
        <w:t>TdResponse</w:t>
      </w:r>
      <w:r>
        <w:rPr>
          <w:rFonts w:hint="eastAsia" w:ascii="新宋体" w:hAnsi="新宋体" w:eastAsia="新宋体"/>
          <w:color w:val="000000"/>
          <w:sz w:val="24"/>
          <w:szCs w:val="24"/>
        </w:rPr>
        <w:t>);</w:t>
      </w:r>
    </w:p>
    <w:p>
      <w:pP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C3AADB"/>
    <w:multiLevelType w:val="multilevel"/>
    <w:tmpl w:val="FFC3AAD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59E2985"/>
    <w:multiLevelType w:val="singleLevel"/>
    <w:tmpl w:val="259E29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6739CB"/>
    <w:rsid w:val="014F340E"/>
    <w:rsid w:val="0203134E"/>
    <w:rsid w:val="0232213C"/>
    <w:rsid w:val="03302E39"/>
    <w:rsid w:val="0409425D"/>
    <w:rsid w:val="046941B9"/>
    <w:rsid w:val="058C134F"/>
    <w:rsid w:val="07171FC6"/>
    <w:rsid w:val="07300287"/>
    <w:rsid w:val="0A155F31"/>
    <w:rsid w:val="0A684F44"/>
    <w:rsid w:val="0A785C6D"/>
    <w:rsid w:val="0C3A0DD1"/>
    <w:rsid w:val="0C783262"/>
    <w:rsid w:val="0CA50EAC"/>
    <w:rsid w:val="0DA77A83"/>
    <w:rsid w:val="0DE9704F"/>
    <w:rsid w:val="0E7F53EB"/>
    <w:rsid w:val="10663161"/>
    <w:rsid w:val="118459DE"/>
    <w:rsid w:val="11E872A0"/>
    <w:rsid w:val="132A0A39"/>
    <w:rsid w:val="136C2EEC"/>
    <w:rsid w:val="146D6F39"/>
    <w:rsid w:val="1575413D"/>
    <w:rsid w:val="15ED2438"/>
    <w:rsid w:val="166F4036"/>
    <w:rsid w:val="1A397BA2"/>
    <w:rsid w:val="1A554B20"/>
    <w:rsid w:val="1AB067C0"/>
    <w:rsid w:val="1D522064"/>
    <w:rsid w:val="1DEA0F14"/>
    <w:rsid w:val="1EDA4AAE"/>
    <w:rsid w:val="1F257CEA"/>
    <w:rsid w:val="1F4A33E5"/>
    <w:rsid w:val="1F4E055F"/>
    <w:rsid w:val="202953B9"/>
    <w:rsid w:val="218031B7"/>
    <w:rsid w:val="2392079F"/>
    <w:rsid w:val="23F519FD"/>
    <w:rsid w:val="240B6B7D"/>
    <w:rsid w:val="24215A93"/>
    <w:rsid w:val="24426594"/>
    <w:rsid w:val="24EF724F"/>
    <w:rsid w:val="26397CEE"/>
    <w:rsid w:val="266B53EA"/>
    <w:rsid w:val="27BE6EA2"/>
    <w:rsid w:val="28BF1071"/>
    <w:rsid w:val="28CF3CEB"/>
    <w:rsid w:val="29575B6B"/>
    <w:rsid w:val="2A3D7E02"/>
    <w:rsid w:val="2A960D9A"/>
    <w:rsid w:val="2B772069"/>
    <w:rsid w:val="2B8C201D"/>
    <w:rsid w:val="2C4C4437"/>
    <w:rsid w:val="2F486608"/>
    <w:rsid w:val="3112451A"/>
    <w:rsid w:val="315A36BF"/>
    <w:rsid w:val="320774E3"/>
    <w:rsid w:val="3252279D"/>
    <w:rsid w:val="326B1FCF"/>
    <w:rsid w:val="327D7594"/>
    <w:rsid w:val="33D9558D"/>
    <w:rsid w:val="356E4143"/>
    <w:rsid w:val="365A2CB5"/>
    <w:rsid w:val="368D2F8C"/>
    <w:rsid w:val="37B8774E"/>
    <w:rsid w:val="37C54AC7"/>
    <w:rsid w:val="37ED0FA5"/>
    <w:rsid w:val="38E409AE"/>
    <w:rsid w:val="399337CB"/>
    <w:rsid w:val="3BDB0962"/>
    <w:rsid w:val="3CF55FCD"/>
    <w:rsid w:val="3D563A16"/>
    <w:rsid w:val="3D9E6AF8"/>
    <w:rsid w:val="3EC50C65"/>
    <w:rsid w:val="3F307020"/>
    <w:rsid w:val="3F9B0EF4"/>
    <w:rsid w:val="406A0937"/>
    <w:rsid w:val="40A857E8"/>
    <w:rsid w:val="424C3EDB"/>
    <w:rsid w:val="425141BD"/>
    <w:rsid w:val="42A54337"/>
    <w:rsid w:val="42EB7958"/>
    <w:rsid w:val="4387387F"/>
    <w:rsid w:val="446747DC"/>
    <w:rsid w:val="45A3251E"/>
    <w:rsid w:val="48AD2A43"/>
    <w:rsid w:val="4A0D339D"/>
    <w:rsid w:val="4A3E281A"/>
    <w:rsid w:val="4AAA4B1E"/>
    <w:rsid w:val="4C093876"/>
    <w:rsid w:val="4CF01D46"/>
    <w:rsid w:val="4DB71F54"/>
    <w:rsid w:val="4E5648F4"/>
    <w:rsid w:val="4EC73BF4"/>
    <w:rsid w:val="4FE06E95"/>
    <w:rsid w:val="50B052E6"/>
    <w:rsid w:val="51103A35"/>
    <w:rsid w:val="511C75D9"/>
    <w:rsid w:val="51971754"/>
    <w:rsid w:val="51A64A4A"/>
    <w:rsid w:val="51B030F4"/>
    <w:rsid w:val="51BA703A"/>
    <w:rsid w:val="51FE694B"/>
    <w:rsid w:val="53E82233"/>
    <w:rsid w:val="54034A99"/>
    <w:rsid w:val="54955AE0"/>
    <w:rsid w:val="55023EFE"/>
    <w:rsid w:val="5637056C"/>
    <w:rsid w:val="56950B77"/>
    <w:rsid w:val="56AE3E1F"/>
    <w:rsid w:val="581D6783"/>
    <w:rsid w:val="5A0669E6"/>
    <w:rsid w:val="5AA40207"/>
    <w:rsid w:val="5AD73C96"/>
    <w:rsid w:val="5B50498E"/>
    <w:rsid w:val="5C016EF2"/>
    <w:rsid w:val="5C43733B"/>
    <w:rsid w:val="5C6751BF"/>
    <w:rsid w:val="5E4A076B"/>
    <w:rsid w:val="5E751C65"/>
    <w:rsid w:val="60280DC0"/>
    <w:rsid w:val="60BC6961"/>
    <w:rsid w:val="622344DB"/>
    <w:rsid w:val="623A40C2"/>
    <w:rsid w:val="62F51287"/>
    <w:rsid w:val="6325180D"/>
    <w:rsid w:val="63334276"/>
    <w:rsid w:val="64AB0773"/>
    <w:rsid w:val="64BE74EE"/>
    <w:rsid w:val="65082F26"/>
    <w:rsid w:val="65D106FF"/>
    <w:rsid w:val="65F2042A"/>
    <w:rsid w:val="66B668E4"/>
    <w:rsid w:val="66CC4EFC"/>
    <w:rsid w:val="66F150DE"/>
    <w:rsid w:val="67927795"/>
    <w:rsid w:val="67DF72DF"/>
    <w:rsid w:val="67F61277"/>
    <w:rsid w:val="69BD7B7B"/>
    <w:rsid w:val="6A434662"/>
    <w:rsid w:val="6C3E36E1"/>
    <w:rsid w:val="6DDB4DF0"/>
    <w:rsid w:val="6FAC4C63"/>
    <w:rsid w:val="6FEF35CF"/>
    <w:rsid w:val="70E31599"/>
    <w:rsid w:val="715B2F0D"/>
    <w:rsid w:val="73963479"/>
    <w:rsid w:val="73B4187F"/>
    <w:rsid w:val="74032173"/>
    <w:rsid w:val="74143E20"/>
    <w:rsid w:val="756634E5"/>
    <w:rsid w:val="76037FCA"/>
    <w:rsid w:val="78D96465"/>
    <w:rsid w:val="7B742309"/>
    <w:rsid w:val="7C176E0F"/>
    <w:rsid w:val="7E2D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HTML Code"/>
    <w:basedOn w:val="1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Office_11.1.0.10011_F1E327BC-269C-435d-A152-05C5408002CA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2021-09-28T02:52:00Z</dcterms:created>
  <dc:creator>Xinfei</dc:creator>
  <cp:lastModifiedBy>zhaozhigen</cp:lastModifiedBy>
  <dcterms:modified xsi:type="dcterms:W3CDTF">2021-10-20T07:03:24Z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2052-11.1.0.10011</vt:lpwstr>
  </property>
</Properties>
</file>